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0302339-f3a1_trident.htm"/>
      <w:bookmarkStart w:id="1" w:name="ksea0302339f3a1_trident"/>
      <w:bookmarkEnd w:id="0"/>
      <w:bookmarkEnd w:id="1"/>
      <w:r>
        <w:rPr>
          <w:rFonts w:ascii="Times New Roman;Times;Serif" w:hAnsi="Times New Roman;Times;Serif"/>
          <w:b/>
          <w:i w:val="false"/>
          <w:caps w:val="false"/>
          <w:smallCaps w:val="false"/>
          <w:sz w:val="20"/>
        </w:rPr>
        <w:t>As filed with the Securities and Exchange Commission on August 25,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333-298224</w:t>
      </w:r>
      <w:r>
        <w:rPr>
          <w:rFonts w:ascii="Times New Roman;Times;Serif" w:hAnsi="Times New Roman;Times;Serif"/>
          <w:b w:val="false"/>
          <w:i w:val="false"/>
          <w:caps w:val="false"/>
          <w:smallCaps w:val="false"/>
          <w:sz w:val="20"/>
        </w:rPr>
        <w:t xml:space="preserve">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 </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 </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660"/>
        <w:gridCol w:w="60"/>
        <w:gridCol w:w="1970"/>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Suntec Tower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Temasek Boulevard Road, #24-03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+65 6513 6868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(800) 221-0102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Lawrence S. Venick,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10100 Santa Monica Blvd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 Angeles, CA 90067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(310) 728-5129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pPr>
            <w:r>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Class B ordinary shares, preferred shares, debt securities, rights and/or units, of an aggregate offering price of up to US$200,000,000. The prospectus supplement for each offering of securities will describe in detail the plan of distribution for that offering. For general information about the distribution of securities offered, please see “Plan of Distribution of the Primary Offering”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and all of our assets are located outside of the United States. Substantially all of our current operations are conducted in Singapore. Our Class B ordinary shares are shares of Trident Cayman, the offshore holding company in the Cayman Islands, instead of shares of our subsidiaries. Investors may never directly hold equity interests in our subsidiaries. An investment in our Class B ordinary shares involves a number of risks, including risks relating to our business and industry, risks relating to the jurisdictions where we operate, and risks relating to our Class B ordinary shares. For more details, please refer to our annual report on Form 20-F for the year ended December 31, 2025 under the heading of “Risk Factors” for a more thorough description of these and other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B ordinary shares are listed on the Nasdaq Capital Market, under the symbol “TDTH.” On August 24, 2026, the closing trading price for our Class B ordinary shares, as reported on Nasdaq Capital Market, was US$1.925 per share.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remains below US$75,000,000. The aggregate market value of our issued and outstanding Class B ordinary shares held by non-affiliates, or public float, as of August 25, 2026, was approximately US$9,368,475, which was calculated based on 3,091,906 Class B ordinary shares held by non-affiliates and the per share price of US$3.03, which was the closing price of our Class B ordinary shares on July 22, 2026. During the 12 calendar months prior to and including the date of this prospectus, we have not offered or sold any securities pursuant to General Instruction I.B.5 of Form F-3.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these securities, we will provide a supplement to this prospectus that contains specific information about the offering and the terms of the securities offered. The supplement may also add, update or change information contained in this prospectus. You should carefully read this prospectus and any prospectus supplement before you invest in any of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from time to time at fixed prices, at market prices or at negotiated prices, to or through underwriters, to other purchasers, through agents,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authorized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of directors may determine in accordance with our Memorandum and Articles of Association. As of the date of this prospectus, (i) 208,333 Class A ordinary shares, and (ii) 8,428,418 Class B ordinary shares are issued and outstanding. In respect of matters requiring shareholders’ vote, each Class A Ordinary Share is entitled to sixty (60) votes, each Class B Ordinary Share is entitled to one vote and each Class C Ordinary Share is entitled to one vote. Each Class A ordinary share and Class C ordinary share is convertible into one Class B ordinary share at any time by the holder thereof, while Class B ordinary shares are not convertible into Class A ordinary shares or Class C ordinary shares under any circumstances.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Class B ordinary shares as a source for any future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risks. See the “Risk Factors” section contained in this prospectus, the applicable prospectus supplement and the documents we incorporate by reference in this prospectus to read about factors you should consider before investing in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any securities unless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of this prospectus is August 25,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5765"/>
        <w:gridCol w:w="60"/>
        <w:gridCol w:w="275"/>
      </w:tblGrid>
      <w:tr>
        <w:trPr/>
        <w:tc>
          <w:tcPr>
            <w:tcW w:w="5765" w:type="dxa"/>
            <w:tcBorders/>
            <w:shd w:fill="CCEEFF" w:val="clear"/>
            <w:vAlign w:val="center"/>
          </w:tcPr>
          <w:p>
            <w:pPr>
              <w:pStyle w:val="TableContents"/>
              <w:bidi w:val="0"/>
              <w:spacing w:before="0" w:after="283"/>
              <w:ind w:left="0" w:right="0" w:hanging="200"/>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ii</w:t>
            </w:r>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1</w:t>
            </w:r>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INCORPORATION OF DOCUMENTS BY REFERENCE</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5</w:t>
            </w:r>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6</w:t>
            </w:r>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7</w:t>
            </w:r>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8</w:t>
            </w:r>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THE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8</w:t>
            </w:r>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9</w:t>
            </w:r>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PREFERRED SHARES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19</w:t>
            </w:r>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20</w:t>
            </w:r>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22</w:t>
            </w:r>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23</w:t>
            </w:r>
          </w:p>
        </w:tc>
      </w:tr>
      <w:tr>
        <w:trPr/>
        <w:tc>
          <w:tcPr>
            <w:tcW w:w="57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24</w:t>
            </w:r>
          </w:p>
        </w:tc>
      </w:tr>
      <w:tr>
        <w:trPr/>
        <w:tc>
          <w:tcPr>
            <w:tcW w:w="576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TAXATION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26</w:t>
            </w:r>
          </w:p>
        </w:tc>
      </w:tr>
      <w:tr>
        <w:trPr/>
        <w:tc>
          <w:tcPr>
            <w:tcW w:w="576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ENFORCEABILITY OF CIVIL LIABILITIES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26</w:t>
            </w:r>
          </w:p>
        </w:tc>
      </w:tr>
      <w:tr>
        <w:trPr/>
        <w:tc>
          <w:tcPr>
            <w:tcW w:w="576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27</w:t>
            </w:r>
          </w:p>
        </w:tc>
      </w:tr>
      <w:tr>
        <w:trPr/>
        <w:tc>
          <w:tcPr>
            <w:tcW w:w="576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27</w:t>
            </w:r>
          </w:p>
        </w:tc>
      </w:tr>
      <w:tr>
        <w:trPr/>
        <w:tc>
          <w:tcPr>
            <w:tcW w:w="576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WHERE YOU CAN FIND MORE INFORMATION ABOUT US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prospectus supplement together with the additional information described under the heading “Where You Can Find More Information About Us” and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unless the context otherwise requires,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refers to our Class A ordinary shares, par value US$0.0024 per share;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refers to our Class B ordinary shares, par value US$0.0024 per share;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Class C ordinary shares” refers to our Class C ordinary shares, par value US$0.0024 per share;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Companies Act” refers to the Companies Act (As Revised) of the Cayman Islands;</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Exchange Act” refers to the Securities Exchange Act of 1934, as amended;</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IMDA” refers to Infocomm Media Development Authority, a statutory board under the Singapore Ministry of Communications and Information of the Republic of Singapore;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Memorandum and Articles of Association” refers to our memorandum and articles of association, as amended and restated from time to time;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 xml:space="preserve">ordinary shares” refers to our Class A ordinary shares, Class B ordinary shares and Class C ordinary shares, par value US$0.0024 per share;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S$” or “SGD” refers to the Singapore dollar, the legal currency of Singapore;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SEC” refers to the United States Securities and Exchange Commission;</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left"/>
              <w:rPr/>
            </w:pPr>
            <w:r>
              <w:rPr/>
              <w:t>“</w:t>
            </w:r>
            <w:r>
              <w:rPr/>
              <w:t>Securities Act” refers to the United States Securities Act of 1933, as amended;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left"/>
              <w:rPr/>
            </w:pPr>
            <w:r>
              <w:rPr/>
              <w:t>“</w:t>
            </w:r>
            <w:r>
              <w:rPr/>
              <w:t>Singapore” refers to the Republic of Singapore;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SME” refers to small and medium enterprises;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Trident Singapore” refers to Trident Digital Tech Pte. Ltd., a company incorporated in Singapore, and an indirect wholly-owned subsidiary of our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US$”, “$,” “dollars,” or “U.S. dollars” refers to the legal currency of the United States;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U.S. GAAP” refers to generally accepted accounting principles in the United States;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we,” “us,” “our company,” the “Company,” “Trident Cayman” and “our” refer to Trident Digital Tech Holdings Ltd, a Cayman Islands company and its subsidiaries.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discrepancies in any table in this prospectus between the amounts identified as total amounts and the sum of the amounts listed therein are due to rounding.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U.S. Securities and Exchange Commission (the “SEC”), using a shelf registration process permitted under the Securities Act of 1933, as amended (the “Securities Act”). By using a shelf registration statement, we may sell any of our securities to the extent permitted in this prospectus and the applicable prospectus supplement, from time to time in one or more offerings on a continuous or delayed basis. This prospectus only provides you with a summary description of these securities. Each time we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 securities in any jurisdiction where the offer or sale is not permitted. You should assume that the information appearing in this prospectus and the applicable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a_002"/>
      <w:bookmarkEnd w:id="3"/>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following summary highlights information contained elsewhere in this prospectus o</w:t>
      </w:r>
      <w:r>
        <w:rPr>
          <w:rFonts w:ascii="Times New Roman;Times;Serif" w:hAnsi="Times New Roman;Times;Serif"/>
          <w:b w:val="false"/>
          <w:i/>
          <w:caps w:val="false"/>
          <w:smallCaps w:val="false"/>
          <w:sz w:val="20"/>
          <w:bdr w:val="single" w:sz="12" w:space="1" w:color="000000"/>
          <w:shd w:fill="FFFFFF" w:val="clear"/>
        </w:rPr>
        <w:t>r incorporated by reference in this prospectus, </w:t>
      </w:r>
      <w:r>
        <w:rPr>
          <w:rFonts w:ascii="Times New Roman;Times;Serif" w:hAnsi="Times New Roman;Times;Serif"/>
          <w:b w:val="false"/>
          <w:i/>
          <w:caps w:val="false"/>
          <w:smallCaps w:val="false"/>
          <w:sz w:val="20"/>
          <w:bdr w:val="single" w:sz="12" w:space="1" w:color="000000"/>
        </w:rPr>
        <w:t>and does not contain all of the information that you need to consider in making your investment decision. We urge you to read this entire prospectus (as supplemented or amended), including our consolidated financial statements, notes to the consolidated financial statements and other information incorporated by reference in this prospectus from our other filings with the SEC, before making an investment decision. Investors should note that Trident Digital Tech Holdings Ltd, our ultimate Cayman Islands holding company, is not an operating company, and all of our assets are located outside of the United States. Substantially all of our current operations are conducted in Singapore.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leading catalyst for digital transformation in digital optimization, technology services, and Web 3.0 activation worldwide, based in Singapore. In 2025, we undertook a strategic transition from business consulting and IT customization-led model to our proprietary Web 3.0 and blockchain-enabled platform, Tridentity, and offer Web 3.0 activation and digital identity solutions to Singapore, Africa and other high-growth markets.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Historically, we derived a majority of our revenues from business consulting and IT customization services provided primarily to SMEs in Singapore. In 2025, we substantially scaled back these legacy operations. We discontinued our business consulting services and significantly scaled back our IT customization operations to focus resources on our Web 3.0 activation and digital identity solutions and services. Our current strategic focus is the development and commercialization of Tridentity, our Web 3.0 and blockchain-enabled platform launched in December 2023 whereby customers and merchants can transact in a transparent and secure way. As our flagship product, Tridentity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Southeast Asia with a strong focus on Africa and other high growth markets. In June 2025, we signed a definitive public-private partnership agreement with the government of the DRC as the exclusive provider of electronic Know Your Customer (“e-KYC”) services, delivering Web 3.0-based national digital identity.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Beyond Tridentity, our mission is to become the global leader in Web 3.0 activation, notably connecting businesses to a reliable and secure technological platform, with tailored and optimized customer experiences. We believe that Tridentity addresses a massive market opportunity today and provides us with an attractive runway for growth.</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part of our strategic realignment to transition our business model, we reallocated resources away from our traditional business consulting and IT customization services to concentrate on the development and expansion of our Web 3.0 and blockchain-enabled platform, Tridentity. As a result, our revenue declined while operating expenses increased as we invested in long-term strategic initiatives. For the years ended December 31, 2025 and 2024, we generated revenue of approximately US$0.16 million and US$0.47 million, respectively. Revenue from IT customization and business consulting accounted for 80.7% and nil of our total revenue for the year ended December 31, 2025, respectively, and accounted for 72.5% and 24.1% of our total revenue for the year ended December 31, 2024, respectively. We incurred a net loss of approximately US$22.76 million and US$8.12 million for the years ended December 31, 2025 and 2024, respectively. While this transition has resulted in near-term revenue contraction, we believe this strategic shift positions the Company to capture growth opportunities in the emerging Web 3.0 and digital identity markets.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History and Structure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June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Upon the completion of the reorganization, Quality Zone Technologies Pte. Ltd. became a wholly-owned subsidiary of Trident Digital Tech Holdings Ltd and Trident Digital Tech Pte. Ltd. became a wholly-owned subsidiary of Quality Zone Technologies Pte. Ltd. We are a holding company and we conduct our business through our Singapore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27, 2025, Trident Digital Tech (DRC) Africa SAS was incorporated as a joint-stock company in the DRC, with Trident Digital Tech Pte. Ltd. holding 80% interest and Africa Digital SARL holding 20% interest. The entity was established to provide digital-identity solutions, biometric identification, secure data-management services and electronic verification systems.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15, 2025, TRIDENT ALISKA DIGITAL TECH GHANA LTD was incorporated as a private limited company in Ghana as a joint venture between Trident Digital Tech Pte. Ltd. and Aliska Business Advisory and Research Limited, with each party holding a 50% equity interest. The entity was established to engage in information communication technology, including software and application development, technology development services and technology-related investment and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Trident Digital Tech Holdings Ltd is the offshore holding company of our group and conducts business operations through wholly owned subsidiaries.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diagram illustrates our corporate structure, including our principal subsidiaries as of the date of this prospectus: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267325" cy="2562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67325" cy="2562225"/>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“Risk Factors” in our annual report on Form 20-F for the fiscal year ended December 31, 2025, as amended, which is incorporated by reference in this prospectus, and which may be amended, supplemented or superseded from time to time by other reports we file with the SEC in the future.</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Change of Auditor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5, 2026, the audit committee of the board of directors dismissed Marcum Asia CPAs LLP as the Company’s independent registered public accounting firm and engaged HYYH CPA. LLC as the Company’s independent registered public accounting firm for the fiscal year ended December 31, 2025. The audit report of Marcum Asia CPAs LLP on the consolidated financial statements of the Company as of December 31, 2023 and 2024 and for the fiscal years ended December 31, 2023 and 2024 did not contain an adverse opinion or disclaimer of opinion and was not qualified or modified as to uncertainty, audit scope or accounting principles. During the fiscal years ended December 31, 2023 and 2024, there were no disagreements between the Company and Marcum Asia CPAs LLP on any matter of accounting principles or practices, financial statement disclosure, or auditing scope or procedure.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Nasdaq Compliance Matters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26, 2026, the Company received a notification letter from the Listing Qualifications Department of The Nasdaq Stock Market LLC (“Nasdaq”) indicating that, based upon the Company’s market value of listed securities (“MVLS”) for the 34 consecutive business day period from February 5, 2026 through March 20, 2026, the Company did not maintain the minimum MVLS of US$35,000,000 required for continued listing on the Nasdaq Capital Market pursuant to Nasdaq Listing Rule 5550(b)(2). The Company was afforded a period of 180 calendar days, or until September 22, 2026, in which to regain compliance.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28, 2026, the Company received a letter from Nasdaq notifying the Company that since its listed securities did not have a closing bid price of at least US$1.00 for a minimum of 10 consecutive business days during the 180 calendar days ended April 27, 2026, the Company had not regained compliance with Nasdaq Listing Rule 5550(a)(2). The Company was not eligible for a second 180-day compliance period. The Company timely requested a hearing before the Nasdaq Hearings Panel to present its plan for regaining compliance, which stayed the suspension of the Company’s securities pending the Hearings Panel’s decision.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26, 2026, the Company received formal confirmation from Nasdaq stating that the Company had regained compliance with Nasdaq Listing Rule 5550(a)(2), the minimum bid price requirement for continued listing on the Nasdaq Capital Market. The hearing previously scheduled before the Nasdaq Hearings Panel for June 4, 2026 was cancelled, and Nasdaq confirmed that the Company’s securities will continue to remain listed and traded on The Nasdaq Stock Market.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Reverse Share Split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7, 2026, the Company announced its plan to change the ratio of its ADS to Class B ordinary shares from the previous ratio of one (1) ADS to eight (8) Class B ordinary shares to a new ratio of one (1) ADS to two hundred and forty (240) Class B ordinary shares. Effective April 24, 2026, the Company effected a 1-for-30 reverse share split.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Extraordinary General Meeting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8, 2026, the Company held an extraordinary general meeting of shareholders (the “EGM”) at which the Company’s shareholders approved: (i) a share redesignation of 40,000,000 authorized but unissued Class A ordinary shares to 40,000,000 blank shares and 20,000,000 authorized but unissued Class C ordinary shares to 20,000,000 blank shares; (ii) an increase of the authorized share capital of the Company from US$50,000 to US$1,200,000, divided into 120,000,000,000 shares of par value of US$0.00001 each; (iii) a share consolidation of the issued and unissued ordinary shares on the basis that every 240 existing shares of par value of US$0.00001 each be consolidated into one share of par value of US$0.0024 each; (iv) the Third Amended and Restated Memorandum and Articles of Association of the Company; and (v) the Share Subscription Agreement in connection with the conversion of US$8,000,000 of outstanding debt owed by the Company to Mr. Soon Huat Lim, the founder, chairman of board of directors and chief executive officer of the Company, into 901,408,450 Class B ordinary shares at a conversion price of US$0.008875 per share.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Termination of ADR Program and Share Consolidation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16, 2026, the Company terminated its American depositary receipt program and effected a mandatory exchange of all outstanding ADSs for the underlying Class B ordinary shares. In connection with the termination, the Company effected a 240-for-1 share consolidation of its ordinary shares. Following the share consolidation, each ADS was automatically cancelled and exchanged for one Class B ordinary share, par value US$0.0024 per share. The Class B ordinary shares are now listed on the Nasdaq Capital Market under the symbol “TDTH.”</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 of Being a Foreign Private Issuer</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an exempted company incorporated in the Cayman Islands, we are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 is located at Suntec Tower 3, 8 Temasek Boulevard Road, #24-03, Singapore, 038988. Our telephone number is +65 6513 6868. Our agent for service of process in the United States is Cogency Global Inc., located at 122 East 42nd Street, 18th Floor, New York, NY 10168.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 maintains an internet site that contains reports, proxy and information statements, and other information regarding issuers that file electronically with the SEC on www.sec.gov. You can also find information on our corporate website https://tridentity.me.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annual reports, which will include a review of operations and annual audited consolidated financial statements prepared in conformity with U.S. GAAP, and all notices of shareholders’ meeting and other reports and communications that are made generally available to our shareholders.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a_003"/>
      <w:bookmarkEnd w:id="4"/>
      <w:r>
        <w:rPr>
          <w:rFonts w:ascii="Times New Roman;Times;Serif" w:hAnsi="Times New Roman;Times;Serif"/>
          <w:b/>
          <w:i w:val="false"/>
          <w:caps w:val="false"/>
          <w:smallCaps w:val="false"/>
          <w:sz w:val="20"/>
          <w:bdr w:val="single" w:sz="12" w:space="1" w:color="000000"/>
        </w:rPr>
        <w:t>INCORPORATION OF DOCUMENTS BY REFERENCE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incorporate by reference the documents listed below: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w:t>
            </w:r>
            <w:hyperlink r:id="rId3">
              <w:r>
                <w:rPr>
                  <w:rStyle w:val="InternetLink"/>
                  <w:rFonts w:ascii="Times New Roman;Times;Serif" w:hAnsi="Times New Roman;Times;Serif"/>
                  <w:sz w:val="20"/>
                </w:rPr>
                <w:t>Form 20-F</w:t>
              </w:r>
            </w:hyperlink>
            <w:r>
              <w:rPr>
                <w:rFonts w:ascii="Times New Roman;Times;Serif" w:hAnsi="Times New Roman;Times;Serif"/>
                <w:sz w:val="20"/>
              </w:rPr>
              <w:t xml:space="preserve"> for the fiscal year ended December 31, 2025, along with all exhibits, including the description of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Reports on Form 6-K filed with the SEC on </w:t>
            </w:r>
            <w:hyperlink r:id="rId4">
              <w:r>
                <w:rPr>
                  <w:rStyle w:val="InternetLink"/>
                  <w:rFonts w:ascii="Times New Roman;Times;Serif" w:hAnsi="Times New Roman;Times;Serif"/>
                  <w:sz w:val="20"/>
                </w:rPr>
                <w:t>April 1, 2026</w:t>
              </w:r>
            </w:hyperlink>
            <w:r>
              <w:rPr>
                <w:rFonts w:ascii="Times New Roman;Times;Serif" w:hAnsi="Times New Roman;Times;Serif"/>
                <w:sz w:val="20"/>
              </w:rPr>
              <w:t xml:space="preserve">, </w:t>
            </w:r>
            <w:hyperlink r:id="rId5">
              <w:r>
                <w:rPr>
                  <w:rStyle w:val="InternetLink"/>
                  <w:rFonts w:ascii="Times New Roman;Times;Serif" w:hAnsi="Times New Roman;Times;Serif"/>
                  <w:sz w:val="20"/>
                </w:rPr>
                <w:t>April 7, 2026</w:t>
              </w:r>
            </w:hyperlink>
            <w:r>
              <w:rPr>
                <w:rFonts w:ascii="Times New Roman;Times;Serif" w:hAnsi="Times New Roman;Times;Serif"/>
                <w:sz w:val="20"/>
              </w:rPr>
              <w:t xml:space="preserve">, </w:t>
            </w:r>
            <w:hyperlink r:id="rId6">
              <w:r>
                <w:rPr>
                  <w:rStyle w:val="InternetLink"/>
                  <w:rFonts w:ascii="Times New Roman;Times;Serif" w:hAnsi="Times New Roman;Times;Serif"/>
                  <w:sz w:val="20"/>
                </w:rPr>
                <w:t>April 21,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May 1,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May 8, 2026</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May 27, 2026</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June 16,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June 17, 2026</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June 30, 2026</w:t>
              </w:r>
            </w:hyperlink>
            <w:r>
              <w:rPr>
                <w:rFonts w:ascii="Times New Roman;Times;Serif" w:hAnsi="Times New Roman;Times;Serif"/>
                <w:sz w:val="20"/>
              </w:rPr>
              <w:t xml:space="preserve"> and </w:t>
            </w:r>
            <w:hyperlink r:id="rId13">
              <w:r>
                <w:rPr>
                  <w:rStyle w:val="InternetLink"/>
                  <w:rFonts w:ascii="Times New Roman;Times;Serif" w:hAnsi="Times New Roman;Times;Serif"/>
                  <w:sz w:val="20"/>
                </w:rPr>
                <w:t>July 8, 2026</w:t>
              </w:r>
            </w:hyperlink>
            <w:r>
              <w:rPr>
                <w:rFonts w:ascii="Times New Roman;Times;Serif" w:hAnsi="Times New Roman;Times;Serif"/>
                <w:sz w:val="20"/>
              </w:rPr>
              <w:t>, along with all exhibit;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annual report for the fiscal year ended December 31, 2025 filed with the SEC on April 28, 2026 contains a description of our business and audited consolidated financial statements with reports by independent auditors. The consolidated financial statements are prepared and presented in accordance with U.S. GAAP.</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Suntec Tower 3,</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Temasek Boulevard Road, #24-03</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Singapore, 038988</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5" w:name="a_004"/>
      <w:bookmarkEnd w:id="5"/>
      <w:r>
        <w:rPr>
          <w:rFonts w:ascii="Times New Roman;Times;Serif" w:hAnsi="Times New Roman;Times;Serif"/>
          <w:b/>
          <w:i w:val="false"/>
          <w:caps w:val="false"/>
          <w:smallCaps w:val="false"/>
          <w:sz w:val="20"/>
          <w:bdr w:val="single" w:sz="12" w:space="1" w:color="000000"/>
        </w:rPr>
        <w:t>SPECIAL NOTE REGARDING FORWARD-LOOKING STATEMENTS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and any prospectus supplement, and the information incorporated by reference 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any accompanying prospectus supplement and the documents incorporated herein and therein by reference, particularly the sections entitled “Risk Factors,” “Business” and “Management’s Discussion and Analysis of Financial Condition and Results of Operations,” among others, discuss factors which could adversely impact our business and financial performance.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You can identify these forward-looking statements by words or phrases such as “may,” “will,” “expect,”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goals and strategies;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outlook of the digital solutions and e-commerce market in Singapore, Southeast Asia and globally;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expected changes in our revenue, costs or expenditures;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competition in our industry ;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proposed use of proceeds;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government policies and regulations relating to our industry;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economic and business conditions in Singapore, Southeast Asia and globally.</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forward-looking statements made in this prospectus or any prospectus supplement,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prospectus supplement and the documents incorporated by reference herein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and any prospectus supplement, and the information incorporated by reference herein may also contain estimates, projections and statistical data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digital solutions and e-commerce market in Singapore, Southeast Asia and globally, projections or estimates about our business and financial prospects involve significant risks and uncertainties. You should not place undue reliance on these forward-looking statements.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“Risk Factors” in our annual report on Form 20-F for the fiscal year ended December 31, 2025, as amended, which is incorporated by reference in this prospectus, and which may be amended, supplemented or superseded from time to time by other reports we file with the SEC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we offer as set forth in the applicable prospectus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offer and sell from time to time, in one or more offerings, the following securities:</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5"/>
        <w:gridCol w:w="170"/>
        <w:gridCol w:w="1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preferred shares;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debt securities;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rights;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units.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terms and provisions of our Class B ordinary shares, preferred shares, debt securities, rights and units, which we may offer and sell using this prospectus. These summaries are not meant to be a complete description of each security. We will set forth in the applicable prospectus supplement a description of the preferred shares, debt securities, rights, and units, in certain cases, the Class B ordinary shares that may be offered under this prospectus. The terms of the offering of securities, the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in the Cayman Islands on June 12, 2023. Our affairs are currently governed by our Memorandum and Articles of Association and the Companies Act, Cap 22 (Law 3 of 1961, as consolidated and revised), which we refer to as the “Companies Act” in this section, and the common law of the Cayman Islands.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of directors may determine in accordance with our Memorandum and Articles of Association (“M&amp;AA”).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prospectus, (i) 208,333 Class A ordinary shares, and (ii) 8,428,418 Class B ordinary shares are issued and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Class B Ordinary Shares and Class C Ordinary Shares shall at all times vote together as one class on all resolutions submitted to a vote by the Members. Each Class A Ordinary Share shall entitle the holder thereof to sixty (60) votes on all matters subject to vote at general meetings of the Company, each Class B Ordinary Share shall entitle the holder thereof to one (1) vote on all matters subject to vote at general meetings of the Company, and each Class C Ordinary Share shall entitle the holder thereof to one (1) vote on all matters subject to vote at general meetings of the Company, and the Company shall not proceed with any matter to be passed at general meetings of the Company without the written consent of the holders holding a majority of the issued and outstanding Class C Ordinary Shares or with the sanction of a Special Resolution passed at a separate meeting of the holders of the issued and outstanding Class C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or Class C Ordinary Share is convertible into one (1) Class B Ordinary Share at any time at the option of the holder thereof. The right to convert shall be exercisable by the holder of the Class A Ordinary Share or the Class C Ordinary Shares, as the case may be, delivering a written notice to the Company that such holder elects to convert a specified number of Class A Ordinary Shares or Class C Ordinary Shares, as the case may be, into Class B Ordinary Shares. Class B Ordinary Shares are not convertible into Class A Ordinary Shares or Class C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All of our issued and outstanding Ordinary Shares are fully paid and non-assessable. Our Ordinary Shares are issued in registered form, and are issued when registered in our register of members. Our shareholders who are nonresidents of the Cayman Islands may freely hold and vote their shares. Under our M&amp;AA, we may issue only non-negotiable shares and may not issue bearer or negotiable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provided that a dividend may not be paid if this would result in our company being unable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Classes of Ordinary Shares</w:t>
      </w:r>
      <w:r>
        <w:rPr>
          <w:rFonts w:ascii="Times New Roman;Times;Serif" w:hAnsi="Times New Roman;Times;Serif"/>
          <w:b w:val="false"/>
          <w:i w:val="false"/>
          <w:caps w:val="false"/>
          <w:smallCaps w:val="false"/>
          <w:sz w:val="20"/>
        </w:rPr>
        <w:t>. Our ordinary shares are divided into Class A ordinary shares, Class B ordinary shares and Class C ordinary shares. Except for conversion rights and voting rights, Class A Ordinary Shares, Class B Ordinary Shares and Class C Ordinary Shares shall rank pari passu with one another and shall have the same rights, preferences, privileges and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by the shareholders requires the affirmative vote of a simple majority of the votes cast by those shareholders entitled to vote who are present in person or by proxy at a general meeting (or if passed as a resolution in writing, the approval of two-thirds of our shareholders entitled to vote at a general meeting of our company), while a special resolution requires the affirmative vote of no less than two-thirds of the votes cast by those shareholders entitled to vote who are present in person or by proxy at a general meeting (or if passed as a written resolution, the approval of all of our shareholders entitled to vote at a general meeting of our company). A special resolution is required for important matters such as a change of name or any amendment to our M&amp;AA. Holders of our ordinary shares may effect certain changes by ordinary resolution, including increasing the amount of our authorized share capital, consolidating all or any of our share capital into shares of larger amount than our existing shares, sub-dividing our shares or any of them into shares of an amount smaller than that fixed by our M&amp;AA, and cancelling any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 and Shareholder Proposals</w:t>
      </w:r>
      <w:r>
        <w:rPr>
          <w:rFonts w:ascii="Times New Roman;Times;Serif" w:hAnsi="Times New Roman;Times;Serif"/>
          <w:b w:val="false"/>
          <w:i w:val="false"/>
          <w:caps w:val="false"/>
          <w:smallCaps w:val="false"/>
          <w:sz w:val="20"/>
        </w:rPr>
        <w:t>. As a Cayman Islands exempted company, we are not obliged by the Companies Act to call shareholders’ annual general meetings. Our M&amp;AA provides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annual general meetings and any other general meetings of our shareholders may be convened by our board of directors. Advance notice of at least seven (7) calendar days is required for the convening of our annual general shareholders’ meeting and any other general meeting of our shareholders. A quorum required for a general meeting of shareholders consists of one or more shareholders present in person or by proxy or, if a corporation or other non-natural person, by its duly authorized representative, who hold shares which represent, in aggregate, not less than one-third of the votes attaching to all issued and outstanding shares of our company entitled to vote at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M&amp;AA allows any of our shareholders holding at least two-thirds of the aggregate number of votes attaching to all issued and outstanding shares of our company entitled to vote at general meetings, to requisition an extraordinary general meeting of the shareholders, in which case our directors are obliged to call such meeting and to put the resolutions so requisitioned to a vote at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Shares</w:t>
      </w:r>
      <w:r>
        <w:rPr>
          <w:rFonts w:ascii="Times New Roman;Times;Serif" w:hAnsi="Times New Roman;Times;Serif"/>
          <w:b w:val="false"/>
          <w:i w:val="false"/>
          <w:caps w:val="false"/>
          <w:smallCaps w:val="false"/>
          <w:sz w:val="20"/>
        </w:rPr>
        <w:t>. Subject to the restrictions of our M&amp;AA set out below, as applicable, any of our shareholders may transfer all or any of his or her Ordinary Shares by an instrument of transfer in writing and in such usual or common form or such other form approved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and without assigning any reason, refuse to register any transfer of any ordinary share which is not fully paid up or upon which our company has a lien. Our directors may also decline to register any transfer of any ordinary share unless (a) the instrument of transfer is lodged with us, accompanied by the certificate for the ordinary shares to which it relates and such other evidence as our board of directors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ordinary share is to be transferred does not exceed four; or (e) a fee of such maximum sum as the Nasdaq may determine to be payable, or such lesser sum as our board of directors may from time to time require, is paid to us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 The registration of transfers may, on ten (10) days’ notice being given by advertisement in an appointed newspaper or any other newspapers or by any other means in accordance with the requirements of the Nasdaq to that effect, be suspended at such times and for such periods (not exceeding in the whole thirty (30) calendar days in any year) as our directors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On a winding up of our company, if the assets available for distribution among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Our board of directors may from time to time make calls upon shareholders for any amounts unpaid on their shares in a notice served to such shareholders at least fourteen (14) days prior to the specified time and place of payment. The shares that have been called upon and remain unpaid on the specified time are subject to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Purchase and Surrender of Shares</w:t>
      </w:r>
      <w:r>
        <w:rPr>
          <w:rFonts w:ascii="Times New Roman;Times;Serif" w:hAnsi="Times New Roman;Times;Serif"/>
          <w:b w:val="false"/>
          <w:i w:val="false"/>
          <w:caps w:val="false"/>
          <w:smallCaps w:val="false"/>
          <w:sz w:val="20"/>
        </w:rPr>
        <w:t>. We may issue shares on terms that such shares are subject to redemption, at our option or at the option of the holders, on such terms and in such manner as our board of directors, before the issue of such shares, or our shareholders by special resolution may determine. We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If at any time, our share capital is divided into different classes of shares, the rights attached to any class of shares may be varied or abrogated either with the written consent of the holders of two-thirds of the issued shares of that class, or with the sanction of a special resolution passed at a general meeting of the holders of shares of that class. The rights conferred upon the holders of the shares of any class issued with preferred or other rights will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our ordinary shares have no general right under Cayman Islands law to inspect or obtain copies of our list of shareholders or our corporate records (other than our memorandum and articles of association, any special resolutions of our shareholders, and our register of mortgages and charges). However, at the discretion of our board of directors, we intend to provide our shareholders with annual 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Capital</w:t>
      </w:r>
      <w:r>
        <w:rPr>
          <w:rFonts w:ascii="Times New Roman;Times;Serif" w:hAnsi="Times New Roman;Times;Serif"/>
          <w:b w:val="false"/>
          <w:i w:val="false"/>
          <w:caps w:val="false"/>
          <w:smallCaps w:val="false"/>
          <w:sz w:val="20"/>
        </w:rPr>
        <w:t>. Our shareholders may from time to time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share capital by such sum, to be divided into shares of such classes and amount, as the resolution shall prescribe;</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a larger amount than our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existing shares, or any of them into shares of a smaller amount than that fixed by our memorandum;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any shares that, at the date of the passing of the resolution, have not been taken or agreed to be taken by any person and diminish the amount of our share capital by the amount of the shares so cancelled.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by special resolution and subject to confirmation by the Grand Court of the Cayman Islands on an application by our company for an order confirming such reduction, reduce our share capital and any capital redemption reserve in any manner authorized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Our M&amp;AA authorizes our board of directors to issue additional Ordinary Shares from time to time as our board of directors shall determine, to the extent there are available 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M&amp;AA authorizes our board of directors to establish from time to time one or more series of convertible redeemable preferred shares and to determine, with respect to any series of convertible redeemable preferred shares, the terms and rights of that series, including:</w:t>
      </w:r>
    </w:p>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170"/>
        <w:gridCol w:w="20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designation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rights, conversion rights and voting rights; and</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convertible redeemable preferred shares may be used as an anti-takeover device without further action on the part of the shareholders. Issuance of these shares may dilute the voting power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Some provisions of M&amp;AA may discourage, delay or prevent a change of control of our company or management that shareholders may consider favorable, including provisions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preferred shares in one or more series and to designate the price, rights, preferences, privileges and restrictions of such preferred shares without any further vote or action by our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M&amp;AA for a proper purpose and for what they believe in good faith to be in the best interests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30 years in the first instance);</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170"/>
        <w:gridCol w:w="39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empowered to allot, issue, and dispose of shares (including, without limitation, preferred shares) (whether in certificated form or non-certificated form), to such persons, in such manner, on such terms and having such rights and being subject to such restrictions as they may from time to time determine. The Board may, without the approval of the shareholders, create and designate out of the unissued shares of the Company (including unissued Class B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 Board may determine in their sole and absolute discretion.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the prospectus relating to any series of preferred shares being offered for the specific terms of that series,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of the series and the number of shares in the series;</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at which the preferred shares will be offered;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rate or rates or method of calculating the rates, the dates on which the dividends will be payable, whether or not dividends will be cumulative or noncumulative and, if cumulative, the dates from which dividends on the preferred shares being offered will cumulate;</w:t>
            </w:r>
          </w:p>
        </w:tc>
      </w:tr>
    </w:tbl>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voting rights, if any, of the holders of preferred shares being offered;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a sinking fund, if any, and the provisions for redemption, if applicable, of the preferred shares being offered, including any restrictions on the foregoing as a result of arrearage in the payment of dividends or sinking fund installments;</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liquidation preference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applicable, upon which the preferred shares being offered will be convertible into our ordinary shares, including the conversion price, or the manner of calculating the conversion price, and the conversion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applicable, upon which the preferred shares being offered will be exchangeable for debt securities, including the exchange price, or the manner of calculating the exchange price, and the exchange period;</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listing of the preferred shares being offered on any securities exchange;</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federal income tax considerations applicable to the preferred shares being offered;</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170"/>
        <w:gridCol w:w="18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preemptive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ranking and preferences of the preferred shares being offered as to dividend rights and rights upon liquidation, dissolution or the winding up of our affairs;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limitations on the issuance of any class or series of preferred shares ranking senior or equal to the series of preferred shares being offered as to dividend rights and rights upon liquidation, dissolution or the winding up of our affairs; and</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170"/>
        <w:gridCol w:w="72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rights, preferences, qualifications, limitations and restrictions of the series.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issuance, the preferred shares will be fully paid and nonassessable, which means that its holders will have paid their purchase price in full and we may not require them to pay additional funds.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preferred share terms selected by the Board could decrease the amount of earnings and assets available for distribution to holders of our ordinary shares or adversely affect the rights and power, including voting rights, of the holders of our ordinary shares without any further vote or action by the shareholders. The rights of holders of our ordinary shares will be subject to, and may be adversely affected by, the rights of the holders of any preferred shares that may be issued by us in the future. The issuance of preferred shares could also have the effect of delaying or preventing a change in control of our company or make removal of management more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that is effected in compliance with these statutory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90.0% of the votes at a general meeting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p>
      <w:pPr>
        <w:pStyle w:val="TextBody"/>
        <w:bidi w:val="0"/>
        <w:spacing w:before="0" w:after="0"/>
        <w:ind w:left="0" w:right="0" w:hanging="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170"/>
        <w:gridCol w:w="95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dissentient minority shareholders upon a tender offer. When a tender offer is made and accepted by holders of 90.0%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that has been so approved unless there is evidence of fraud, bad faith or collusion.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pStyle w:val="TextBody"/>
        <w:bidi w:val="0"/>
        <w:spacing w:before="0" w:after="0"/>
        <w:ind w:left="0" w:right="0" w:hanging="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acts or proposes to act illegally or ultra vires (and is therefore incapable of ratification by the shareholders);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a simple majority vote that has not been obtained; and</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Cayman Islands law and our memorandum and articles of association provide that our shareholders may approve corporate matters by way of (i) in the case of ordinary resolutions, a written resolution signed by two-thirds of our shareholders entitled to receive notice of and to attend and vote at general meetings of our company, or (ii) in the case of special resolutions, a unanimous written resolution signed by all of our shareholders entitled to receive notice of and to attend and vote at general meetings of our company, without a meeting being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Delaware General Corporation Law, a shareholder has the right to put any proposal before the annual meeting of shareholders;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who together hold shares that carry in aggregate not less than two-thirds of the total number of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or by a written resolution signed by every director other than the director being removed.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with Interested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Restructuring.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extBody"/>
        <w:bidi w:val="0"/>
        <w:spacing w:before="0" w:after="0"/>
        <w:ind w:left="0" w:right="0" w:hanging="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27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895" w:type="dxa"/>
            <w:tcBorders/>
            <w:vAlign w:val="center"/>
          </w:tcPr>
          <w:p>
            <w:pPr>
              <w:pStyle w:val="TableContents"/>
              <w:bidi w:val="0"/>
              <w:spacing w:before="0" w:after="283"/>
              <w:jc w:val="both"/>
              <w:rPr/>
            </w:pPr>
            <w:r>
              <w:rPr/>
              <w:t>is or is likely to become unable to pay its debts;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intends to present a compromise or arrangement to its creditors (or classes thereof) either pursuant to the Companies Act, the law of a foreign country or by way of a consensual restructuring.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Dissolution;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Variation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we may vary the rights attached to any class with the written consent of the holders of at least two-thirds of the issued shares of that class or with the sanction of a special resolution passed at a general meeting of the holders of the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Amendment of Governing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Rights of Non-resident or Foreign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There are no limitations imposed by our memorandum and articles of association on the rights of non-resident or foreign shareholders to hold or exercise voting rights on our shares. In addition, there are no provisions in our memorandum and articles of association that require our Company to disclose shareholder ownership above any particular ownership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Although we do not currently intend to issue any preferred shares, we cannot assure you that we will not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no issued and outstanding preferred shares of any series. The material terms of any series of preferred shares that we offer, together with any material U.S. federal income tax considerations relating to such preferred shares,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preferred shares are entitled to certain rights and subject to certain conditions as set forth in our currently effective memorandum and articles of association and the Companies Act. See “Description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series of debt securities, which may include debt securities exchangeable for or convertible into ordinary shares or preferred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F-3, of which this prospectus is a part, and you should read the indenture for provisions that may be important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title of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price or prices (expressed as a percentage of the aggregate principal amount) at which we will sell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limit on the aggregate principal amount of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date or dates on which we will repay the principal on the debt securities and the right, if any, to extend the maturity of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place or places where the principal of, premium, and interest on the debt securities will be payable, and where the debt securities of the series that are convertible or exchangeable may be surrendered for conversion or exchange;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obligation or right we have to redeem the debt securities pursuant to any sinking fund or analogous provisions or at the option of holders of the debt securities or at our option, and the terms and conditions upon which we are obligated to or may redeem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obligation we have to repurchase the debt securities at the option of the holders of debt securities, the dates on which and the price or prices at which we will repurchase the debt securities and other detailed terms and provisions of these repurchase obligations;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denominations in which the debt securities will be issued;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whether the debt securities will be issued in the form of certificated debt securities or global debt securities;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portion of principal amount of the debt securities payable upon declaration of acceleration of the maturity date, if other than the principal amount;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currency of denomination of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designation of the currency, currencies or currency units in which payment of principal of, premium and interest on the debt securities will be made;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provisions relating to any security provided for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addition to or change in the events of default described in the indenture with respect to the debt securities and any change in the acceleration provisions described in the indenture with respect to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addition to or change in the covenants described in the indenture with respect to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whether the debt securities will be senior or subordinated and any applicable subordination provisions;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discussion of material income tax considerations applicable to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other terms of the debt securities, which may modify any provisions of the indenture as it applies to that series; and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depositaries, interest rate calculation agents, exchange rate calculation agents or other agents with respect to the debt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preferred shares or other securities to be received by the holders of debt securities would be calculated.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New York, unless we otherwise specify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 holders entitled to the rights distribution;</w:t>
            </w:r>
          </w:p>
        </w:tc>
      </w:tr>
    </w:tbl>
    <w:p>
      <w:pPr>
        <w:pStyle w:val="TextBody"/>
        <w:bidi w:val="0"/>
        <w:spacing w:before="0" w:after="0"/>
        <w:ind w:left="0" w:right="0" w:firstLine="72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amount of securities purchasable upon exercise of the rights;</w:t>
            </w:r>
          </w:p>
        </w:tc>
      </w:tr>
    </w:tbl>
    <w:p>
      <w:pPr>
        <w:pStyle w:val="TextBody"/>
        <w:bidi w:val="0"/>
        <w:spacing w:before="0" w:after="0"/>
        <w:ind w:left="0" w:right="0" w:firstLine="72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bl>
    <w:p>
      <w:pPr>
        <w:pStyle w:val="TextBody"/>
        <w:bidi w:val="0"/>
        <w:spacing w:before="0" w:after="0"/>
        <w:ind w:left="0" w:right="0" w:firstLine="72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conditions to completion of the rights offering;</w:t>
            </w:r>
          </w:p>
        </w:tc>
      </w:tr>
    </w:tbl>
    <w:p>
      <w:pPr>
        <w:pStyle w:val="TextBody"/>
        <w:bidi w:val="0"/>
        <w:spacing w:before="0" w:after="0"/>
        <w:ind w:left="0" w:right="0" w:firstLine="72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 and</w:t>
            </w:r>
          </w:p>
        </w:tc>
      </w:tr>
    </w:tbl>
    <w:p>
      <w:pPr>
        <w:pStyle w:val="TextBody"/>
        <w:bidi w:val="0"/>
        <w:spacing w:before="0" w:after="0"/>
        <w:ind w:left="0" w:right="0" w:firstLine="72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170"/>
        <w:gridCol w:w="40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federal income tax considerations.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our Class B ordinary shares, preferred shares or debt securities.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we issue a series of units. See “Where You Can Find Additional Information” and “Incorporation of Certain Information by Reference” above for information on how to obtain a copy of a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designation and terms of the units and of the securities comprising the units, including whether and under what circumstances those securities may be held or transferred separately;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any provisions for the issuance, payment, settlement, transfer, or exchange of the units or of the securities composing the units;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whether the units will be issued in fully registered or global form;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any other terms of the units.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“Description of Share Capital,” “Description of Preferred Shares,” and “Description of Debt Securities” above, will apply to each unit and to each security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(i) to or through underwriters or dealers, (ii) directly to purchasers, including our affiliates, (iii) through agents, or (iv)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firstLine="72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offering;</w:t>
            </w:r>
          </w:p>
        </w:tc>
      </w:tr>
    </w:tbl>
    <w:p>
      <w:pPr>
        <w:pStyle w:val="TextBody"/>
        <w:bidi w:val="0"/>
        <w:spacing w:before="0" w:after="0"/>
        <w:ind w:left="0" w:right="0" w:firstLine="72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any underwriters or agents;</w:t>
            </w:r>
          </w:p>
        </w:tc>
      </w:tr>
    </w:tbl>
    <w:p>
      <w:pPr>
        <w:pStyle w:val="TextBody"/>
        <w:bidi w:val="0"/>
        <w:spacing w:before="0" w:after="0"/>
        <w:ind w:left="0" w:right="0" w:firstLine="72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or names of any managing underwriter or underwriters;</w:t>
            </w:r>
          </w:p>
        </w:tc>
      </w:tr>
    </w:tbl>
    <w:p>
      <w:pPr>
        <w:pStyle w:val="TextBody"/>
        <w:bidi w:val="0"/>
        <w:spacing w:before="0" w:after="0"/>
        <w:ind w:left="0" w:right="0" w:firstLine="72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of the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over-allotment options under which underwriters may purchase additional securities from us;</w:t>
            </w:r>
          </w:p>
        </w:tc>
      </w:tr>
    </w:tbl>
    <w:p>
      <w:pPr>
        <w:pStyle w:val="TextBody"/>
        <w:bidi w:val="0"/>
        <w:spacing w:before="0" w:after="0"/>
        <w:ind w:left="0" w:right="0" w:firstLine="72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proceeds from the sale of the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delayed delivery arrangements;</w:t>
            </w:r>
          </w:p>
        </w:tc>
      </w:tr>
    </w:tbl>
    <w:p>
      <w:pPr>
        <w:pStyle w:val="TextBody"/>
        <w:bidi w:val="0"/>
        <w:spacing w:before="0" w:after="0"/>
        <w:ind w:left="0" w:right="0" w:firstLine="72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underwriting discounts, commissions and other items constituting underwriters’ compensation;</w:t>
            </w:r>
          </w:p>
        </w:tc>
      </w:tr>
    </w:tbl>
    <w:p>
      <w:pPr>
        <w:pStyle w:val="TextBody"/>
        <w:bidi w:val="0"/>
        <w:spacing w:before="0" w:after="0"/>
        <w:ind w:left="0" w:right="0" w:firstLine="72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initial public offering price;</w:t>
            </w:r>
          </w:p>
        </w:tc>
      </w:tr>
    </w:tbl>
    <w:p>
      <w:pPr>
        <w:pStyle w:val="TextBody"/>
        <w:bidi w:val="0"/>
        <w:spacing w:before="0" w:after="0"/>
        <w:ind w:left="0" w:right="0" w:firstLine="72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or concessions allowed or reallowed or paid to dealers;</w:t>
            </w:r>
          </w:p>
        </w:tc>
      </w:tr>
    </w:tbl>
    <w:p>
      <w:pPr>
        <w:pStyle w:val="TextBody"/>
        <w:bidi w:val="0"/>
        <w:spacing w:before="0" w:after="0"/>
        <w:ind w:left="0" w:right="0" w:firstLine="72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commissions paid to agents; and</w:t>
            </w:r>
          </w:p>
        </w:tc>
      </w:tr>
    </w:tbl>
    <w:p>
      <w:pPr>
        <w:pStyle w:val="TextBody"/>
        <w:bidi w:val="0"/>
        <w:spacing w:before="0" w:after="0"/>
        <w:ind w:left="0" w:right="0" w:firstLine="72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securities exchange or market on which the securities may be listed.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Class B ordinary shares,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any of the securities offered by this prospectus will be set forth in the applicable prospectus supplement relating to the offering of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170"/>
        <w:gridCol w:w="2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170"/>
        <w:gridCol w:w="2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bl>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170"/>
        <w:gridCol w:w="1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170"/>
        <w:gridCol w:w="4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has a less developed body of securities laws as compared to the United States and these securities laws provide significantly less protection to investors as compared to the United States; and</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companies may not have standing to sue before the federal courts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NY 10168, as our agent upon whom process may be served in any action brought against us under the securities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Cayman Islands’ legal counsel, there is uncertainty with regard to Cayman Islands law relating to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pStyle w:val="TextBody"/>
        <w:bidi w:val="0"/>
        <w:spacing w:before="0" w:after="0"/>
        <w:ind w:left="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counsel further advised that although there is no statutory enforcement in the Cayman Islands of judgments obtained in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provided such judgment (1) is given by a foreign court of competent jurisdiction, (2) imposes on the judgment debtor a liability to pay a liquidated sum for which the judgment has been given, (3) is final, (4) is not in respect of taxes, a fine or a penalty, and (5) was not obtained in a manner and is of a kind the enforcement of which is contrary to natural justice or the public policy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as to United States federal securities and New York State law. The validity of the Class B ordinary shares offered in this offering will be passed upon for us by Maples and Calder (Hong Kong) LLP. Loeb &amp; Loeb LLP may rely upon Maples and Calder (Hong Kong) LLP with respect to matters governed by Cayman Islands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December 31, 2025 and for the year then ended incorporated by reference in this prospectus have been audited by HYYH CPA. LLC, an independent registered public accounting firm. Such financial statements are included in reliance upon the report of such firm given upon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December 31, 2024 and for each of the two years in the period ended December 31, 2024 incorporated by reference in this prospectus have been audited by Marcum Asia CPAs LLP, an independent registered public accounting firm. Such financial statements are included in reliance upon the report of such firm given upon their authority as experts in accounting and auditing.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WHERE YOU CAN FIND MORE INFORMATION ABOUT 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All information filed with the SEC can be obtained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also find information on our website https://tridentity.me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information contained on our website is not a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 entered into in connection with an offering of securities will also provide for indemnification of us and our officers and directors in certain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provisions described in Item 8,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both"/>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both"/>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file a post-effective amendment to the registration statement to include any financial statements required by Item 8.A of Form 20-F at the start of any delayed offering or throughout a continuous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both"/>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245"/>
        <w:gridCol w:w="8840"/>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103"/>
        <w:gridCol w:w="9107"/>
      </w:tblGrid>
      <w:tr>
        <w:trPr/>
        <w:tc>
          <w:tcPr>
            <w:tcW w:w="99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103" w:type="dxa"/>
            <w:tcBorders/>
            <w:tcMar>
              <w:bottom w:w="0" w:type="dxa"/>
            </w:tcMar>
            <w:vAlign w:val="center"/>
          </w:tcPr>
          <w:p>
            <w:pPr>
              <w:pStyle w:val="TableContents"/>
              <w:bidi w:val="0"/>
              <w:spacing w:before="0" w:after="283"/>
              <w:jc w:val="both"/>
              <w:rPr/>
            </w:pPr>
            <w:r>
              <w:rPr/>
              <w:t> </w:t>
            </w:r>
          </w:p>
        </w:tc>
        <w:tc>
          <w:tcPr>
            <w:tcW w:w="9107"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103" w:type="dxa"/>
            <w:tcBorders/>
            <w:shd w:fill="CCEEFF" w:val="clear"/>
            <w:tcMar>
              <w:bottom w:w="0" w:type="dxa"/>
            </w:tcMar>
            <w:vAlign w:val="center"/>
          </w:tcPr>
          <w:p>
            <w:pPr>
              <w:pStyle w:val="TableContents"/>
              <w:bidi w:val="0"/>
              <w:spacing w:before="0" w:after="283"/>
              <w:jc w:val="both"/>
              <w:rPr/>
            </w:pPr>
            <w:r>
              <w:rPr/>
              <w:t> </w:t>
            </w:r>
          </w:p>
        </w:tc>
        <w:tc>
          <w:tcPr>
            <w:tcW w:w="910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Underwriting Agreement**</w:t>
            </w:r>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103" w:type="dxa"/>
            <w:tcBorders/>
            <w:shd w:fill="FFFFFF" w:val="clear"/>
            <w:tcMar>
              <w:bottom w:w="0" w:type="dxa"/>
            </w:tcMar>
            <w:vAlign w:val="center"/>
          </w:tcPr>
          <w:p>
            <w:pPr>
              <w:pStyle w:val="TableContents"/>
              <w:bidi w:val="0"/>
              <w:spacing w:before="0" w:after="283"/>
              <w:jc w:val="both"/>
              <w:rPr/>
            </w:pPr>
            <w:r>
              <w:rPr/>
              <w:t> </w:t>
            </w:r>
          </w:p>
        </w:tc>
        <w:tc>
          <w:tcPr>
            <w:tcW w:w="910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Preferred Shares Certificate**</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w:t>
            </w:r>
          </w:p>
        </w:tc>
        <w:tc>
          <w:tcPr>
            <w:tcW w:w="103" w:type="dxa"/>
            <w:tcBorders/>
            <w:shd w:fill="CCEEFF" w:val="clear"/>
            <w:tcMar>
              <w:bottom w:w="0" w:type="dxa"/>
            </w:tcMar>
            <w:vAlign w:val="center"/>
          </w:tcPr>
          <w:p>
            <w:pPr>
              <w:pStyle w:val="TableContents"/>
              <w:bidi w:val="0"/>
              <w:spacing w:before="0" w:after="283"/>
              <w:jc w:val="both"/>
              <w:rPr/>
            </w:pPr>
            <w:r>
              <w:rPr/>
              <w:t> </w:t>
            </w:r>
          </w:p>
        </w:tc>
        <w:tc>
          <w:tcPr>
            <w:tcW w:w="910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Unit Agreement**</w:t>
            </w:r>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w:t>
            </w:r>
          </w:p>
        </w:tc>
        <w:tc>
          <w:tcPr>
            <w:tcW w:w="103" w:type="dxa"/>
            <w:tcBorders/>
            <w:shd w:fill="FFFFFF" w:val="clear"/>
            <w:tcMar>
              <w:bottom w:w="0" w:type="dxa"/>
            </w:tcMar>
            <w:vAlign w:val="center"/>
          </w:tcPr>
          <w:p>
            <w:pPr>
              <w:pStyle w:val="TableContents"/>
              <w:bidi w:val="0"/>
              <w:spacing w:before="0" w:after="283"/>
              <w:jc w:val="both"/>
              <w:rPr/>
            </w:pPr>
            <w:r>
              <w:rPr/>
              <w:t> </w:t>
            </w:r>
          </w:p>
        </w:tc>
        <w:tc>
          <w:tcPr>
            <w:tcW w:w="910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indenture with respect to senior debt securities, to be entered into between registrant and a trustee acceptable to the registrant, if any.**</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w:t>
            </w:r>
          </w:p>
        </w:tc>
        <w:tc>
          <w:tcPr>
            <w:tcW w:w="103" w:type="dxa"/>
            <w:tcBorders/>
            <w:shd w:fill="CCEEFF" w:val="clear"/>
            <w:tcMar>
              <w:bottom w:w="0" w:type="dxa"/>
            </w:tcMar>
            <w:vAlign w:val="center"/>
          </w:tcPr>
          <w:p>
            <w:pPr>
              <w:pStyle w:val="TableContents"/>
              <w:bidi w:val="0"/>
              <w:spacing w:before="0" w:after="283"/>
              <w:jc w:val="both"/>
              <w:rPr/>
            </w:pPr>
            <w:r>
              <w:rPr/>
              <w:t> </w:t>
            </w:r>
          </w:p>
        </w:tc>
        <w:tc>
          <w:tcPr>
            <w:tcW w:w="910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indenture with respect to subordinated debt securities, to be entered into between registrant and a trustee acceptable to the registrant, if any.**</w:t>
            </w:r>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w:t>
            </w:r>
          </w:p>
        </w:tc>
        <w:tc>
          <w:tcPr>
            <w:tcW w:w="103" w:type="dxa"/>
            <w:tcBorders/>
            <w:shd w:fill="FFFFFF" w:val="clear"/>
            <w:tcMar>
              <w:bottom w:w="0" w:type="dxa"/>
            </w:tcMar>
            <w:vAlign w:val="center"/>
          </w:tcPr>
          <w:p>
            <w:pPr>
              <w:pStyle w:val="TableContents"/>
              <w:bidi w:val="0"/>
              <w:spacing w:before="0" w:after="283"/>
              <w:jc w:val="both"/>
              <w:rPr/>
            </w:pPr>
            <w:r>
              <w:rPr/>
              <w:t> </w:t>
            </w:r>
          </w:p>
        </w:tc>
        <w:tc>
          <w:tcPr>
            <w:tcW w:w="910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debt securities, if any**</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w:t>
            </w:r>
          </w:p>
        </w:tc>
        <w:tc>
          <w:tcPr>
            <w:tcW w:w="103" w:type="dxa"/>
            <w:tcBorders/>
            <w:shd w:fill="CCEEFF" w:val="clear"/>
            <w:tcMar>
              <w:bottom w:w="0" w:type="dxa"/>
            </w:tcMar>
            <w:vAlign w:val="center"/>
          </w:tcPr>
          <w:p>
            <w:pPr>
              <w:pStyle w:val="TableContents"/>
              <w:bidi w:val="0"/>
              <w:spacing w:before="0" w:after="283"/>
              <w:jc w:val="both"/>
              <w:rPr/>
            </w:pPr>
            <w:r>
              <w:rPr/>
              <w:t> </w:t>
            </w:r>
          </w:p>
        </w:tc>
        <w:tc>
          <w:tcPr>
            <w:tcW w:w="9107"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Form of Share Subscription Agreement, incorporated herein by reference to Exhibit 99.4 to Form 6-K, dated June 30, 2026</w:t>
              </w:r>
            </w:hyperlink>
          </w:p>
        </w:tc>
      </w:tr>
      <w:tr>
        <w:trPr/>
        <w:tc>
          <w:tcPr>
            <w:tcW w:w="995"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5.1</w:t>
            </w:r>
            <w:r>
              <w:rPr/>
              <w:t xml:space="preserve"> </w:t>
            </w:r>
          </w:p>
        </w:tc>
        <w:tc>
          <w:tcPr>
            <w:tcW w:w="103" w:type="dxa"/>
            <w:tcBorders/>
            <w:shd w:fill="FFFFFF" w:val="clear"/>
            <w:tcMar>
              <w:bottom w:w="0" w:type="dxa"/>
            </w:tcMar>
            <w:vAlign w:val="center"/>
          </w:tcPr>
          <w:p>
            <w:pPr>
              <w:pStyle w:val="TableContents"/>
              <w:bidi w:val="0"/>
              <w:spacing w:before="0" w:after="283"/>
              <w:jc w:val="both"/>
              <w:rPr/>
            </w:pPr>
            <w:r>
              <w:rPr/>
              <w:t xml:space="preserve">  </w:t>
            </w:r>
          </w:p>
        </w:tc>
        <w:tc>
          <w:tcPr>
            <w:tcW w:w="9107"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Opinion of Maples and Calder (Hong Kong) LLP*</w:t>
              </w:r>
            </w:hyperlink>
            <w:r>
              <w:rPr/>
              <w:t xml:space="preserve">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23.1</w:t>
            </w:r>
          </w:p>
        </w:tc>
        <w:tc>
          <w:tcPr>
            <w:tcW w:w="103" w:type="dxa"/>
            <w:tcBorders/>
            <w:shd w:fill="CCEEFF" w:val="clear"/>
            <w:tcMar>
              <w:bottom w:w="0" w:type="dxa"/>
            </w:tcMar>
            <w:vAlign w:val="center"/>
          </w:tcPr>
          <w:p>
            <w:pPr>
              <w:pStyle w:val="TableContents"/>
              <w:bidi w:val="0"/>
              <w:spacing w:before="0" w:after="283"/>
              <w:jc w:val="both"/>
              <w:rPr/>
            </w:pPr>
            <w:r>
              <w:rPr/>
              <w:t> </w:t>
            </w:r>
          </w:p>
        </w:tc>
        <w:tc>
          <w:tcPr>
            <w:tcW w:w="9107"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Consent of HYYH CPA. LLC *</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23.2</w:t>
            </w:r>
          </w:p>
        </w:tc>
        <w:tc>
          <w:tcPr>
            <w:tcW w:w="103" w:type="dxa"/>
            <w:tcBorders/>
            <w:shd w:fill="FFFFFF" w:val="clear"/>
            <w:tcMar>
              <w:bottom w:w="0" w:type="dxa"/>
            </w:tcMar>
            <w:vAlign w:val="center"/>
          </w:tcPr>
          <w:p>
            <w:pPr>
              <w:pStyle w:val="TableContents"/>
              <w:bidi w:val="0"/>
              <w:spacing w:before="0" w:after="283"/>
              <w:jc w:val="both"/>
              <w:rPr/>
            </w:pPr>
            <w:r>
              <w:rPr/>
              <w:t> </w:t>
            </w:r>
          </w:p>
        </w:tc>
        <w:tc>
          <w:tcPr>
            <w:tcW w:w="9107"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Consent of Marcum Asia CPAs LLP *</w:t>
              </w:r>
            </w:hyperlink>
          </w:p>
        </w:tc>
      </w:tr>
      <w:tr>
        <w:trPr/>
        <w:tc>
          <w:tcPr>
            <w:tcW w:w="995"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23.3</w:t>
            </w:r>
            <w:r>
              <w:rPr/>
              <w:t xml:space="preserve"> </w:t>
            </w:r>
          </w:p>
        </w:tc>
        <w:tc>
          <w:tcPr>
            <w:tcW w:w="103" w:type="dxa"/>
            <w:tcBorders/>
            <w:shd w:fill="CCEEFF" w:val="clear"/>
            <w:tcMar>
              <w:bottom w:w="0" w:type="dxa"/>
            </w:tcMar>
            <w:vAlign w:val="center"/>
          </w:tcPr>
          <w:p>
            <w:pPr>
              <w:pStyle w:val="TableContents"/>
              <w:bidi w:val="0"/>
              <w:spacing w:before="0" w:after="283"/>
              <w:jc w:val="both"/>
              <w:rPr/>
            </w:pPr>
            <w:r>
              <w:rPr/>
              <w:t xml:space="preserve">  </w:t>
            </w:r>
          </w:p>
        </w:tc>
        <w:tc>
          <w:tcPr>
            <w:tcW w:w="9107"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Consent of Maples and Calder (Hong Kong) LLP (included in Exhibit 5.1)*</w:t>
              </w:r>
            </w:hyperlink>
            <w:r>
              <w:rPr/>
              <w:t xml:space="preserve"> </w:t>
            </w:r>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24.1</w:t>
            </w:r>
          </w:p>
        </w:tc>
        <w:tc>
          <w:tcPr>
            <w:tcW w:w="103" w:type="dxa"/>
            <w:tcBorders/>
            <w:shd w:fill="FFFFFF" w:val="clear"/>
            <w:tcMar>
              <w:bottom w:w="0" w:type="dxa"/>
            </w:tcMar>
            <w:vAlign w:val="center"/>
          </w:tcPr>
          <w:p>
            <w:pPr>
              <w:pStyle w:val="TableContents"/>
              <w:bidi w:val="0"/>
              <w:spacing w:before="0" w:after="283"/>
              <w:jc w:val="both"/>
              <w:rPr/>
            </w:pPr>
            <w:r>
              <w:rPr/>
              <w:t> </w:t>
            </w:r>
          </w:p>
        </w:tc>
        <w:tc>
          <w:tcPr>
            <w:tcW w:w="9107" w:type="dxa"/>
            <w:tcBorders/>
            <w:shd w:fill="FFFFFF" w:val="clear"/>
            <w:tcMar>
              <w:bottom w:w="0" w:type="dxa"/>
            </w:tcMar>
            <w:vAlign w:val="center"/>
          </w:tcPr>
          <w:p>
            <w:pPr>
              <w:pStyle w:val="TableContents"/>
              <w:bidi w:val="0"/>
              <w:spacing w:before="0" w:after="283"/>
              <w:jc w:val="both"/>
              <w:rPr/>
            </w:pPr>
            <w:hyperlink w:anchor="a_025">
              <w:r>
                <w:rPr>
                  <w:rStyle w:val="InternetLink"/>
                  <w:rFonts w:ascii="Times New Roman;Times;Serif" w:hAnsi="Times New Roman;Times;Serif"/>
                  <w:sz w:val="20"/>
                </w:rPr>
                <w:t>Power of Attorney (included on signature page of this registration statement)</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107</w:t>
            </w:r>
          </w:p>
        </w:tc>
        <w:tc>
          <w:tcPr>
            <w:tcW w:w="103" w:type="dxa"/>
            <w:tcBorders/>
            <w:shd w:fill="CCEEFF" w:val="clear"/>
            <w:tcMar>
              <w:bottom w:w="0" w:type="dxa"/>
            </w:tcMar>
            <w:vAlign w:val="center"/>
          </w:tcPr>
          <w:p>
            <w:pPr>
              <w:pStyle w:val="TableContents"/>
              <w:bidi w:val="0"/>
              <w:spacing w:before="0" w:after="283"/>
              <w:jc w:val="both"/>
              <w:rPr/>
            </w:pPr>
            <w:r>
              <w:rPr/>
              <w:t> </w:t>
            </w:r>
          </w:p>
        </w:tc>
        <w:tc>
          <w:tcPr>
            <w:tcW w:w="9107"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245"/>
        <w:gridCol w:w="5585"/>
      </w:tblGrid>
      <w:tr>
        <w:trPr/>
        <w:tc>
          <w:tcPr>
            <w:tcW w:w="245" w:type="dxa"/>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5585" w:type="dxa"/>
            <w:tcBorders/>
            <w:vAlign w:val="center"/>
          </w:tcPr>
          <w:p>
            <w:pPr>
              <w:pStyle w:val="TableContents"/>
              <w:bidi w:val="0"/>
              <w:spacing w:before="0" w:after="0"/>
              <w:ind w:left="0" w:right="0" w:hanging="0"/>
              <w:jc w:val="left"/>
              <w:rPr/>
            </w:pPr>
            <w:r>
              <w:rPr/>
              <w:t xml:space="preserve">Previously filed with the Form F-3 dated August 11, 2026 </w:t>
            </w:r>
          </w:p>
        </w:tc>
      </w:tr>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be filed by amendments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Singapore, on August 25, 2026. </w:t>
      </w:r>
    </w:p>
    <w:p>
      <w:pPr>
        <w:pStyle w:val="TextBody"/>
        <w:bidi w:val="0"/>
        <w:spacing w:before="0" w:after="0"/>
        <w:ind w:left="0" w:right="0" w:hanging="0"/>
        <w:jc w:val="both"/>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75"/>
        <w:gridCol w:w="320"/>
        <w:gridCol w:w="635"/>
        <w:gridCol w:w="3140"/>
      </w:tblGrid>
      <w:tr>
        <w:trPr/>
        <w:tc>
          <w:tcPr>
            <w:tcW w:w="75" w:type="dxa"/>
            <w:tcBorders/>
            <w:vAlign w:val="center"/>
          </w:tcPr>
          <w:p>
            <w:pPr>
              <w:pStyle w:val="TableContents"/>
              <w:bidi w:val="0"/>
              <w:spacing w:before="0" w:after="283"/>
              <w:jc w:val="left"/>
              <w:rPr/>
            </w:pPr>
            <w:r>
              <w:rPr/>
              <w:t> </w:t>
            </w:r>
          </w:p>
        </w:tc>
        <w:tc>
          <w:tcPr>
            <w:tcW w:w="409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Trident Digital Tech Holdings Ltd</w:t>
            </w:r>
          </w:p>
        </w:tc>
      </w:tr>
      <w:tr>
        <w:trPr/>
        <w:tc>
          <w:tcPr>
            <w:tcW w:w="75" w:type="dxa"/>
            <w:tcBorders/>
            <w:vAlign w:val="center"/>
          </w:tcPr>
          <w:p>
            <w:pPr>
              <w:pStyle w:val="TableContents"/>
              <w:bidi w:val="0"/>
              <w:spacing w:before="0" w:after="283"/>
              <w:jc w:val="left"/>
              <w:rPr/>
            </w:pPr>
            <w:r>
              <w:rPr/>
              <w:t> </w:t>
            </w:r>
          </w:p>
        </w:tc>
        <w:tc>
          <w:tcPr>
            <w:tcW w:w="409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75" w:type="dxa"/>
            <w:gridSpan w:val="2"/>
            <w:tcBorders>
              <w:bottom w:val="single" w:sz="12" w:space="0" w:color="000000"/>
            </w:tcBorders>
            <w:tcMar>
              <w:bottom w:w="28" w:type="dxa"/>
            </w:tcMar>
            <w:vAlign w:val="center"/>
          </w:tcPr>
          <w:p>
            <w:pPr>
              <w:pStyle w:val="TableContents"/>
              <w:bidi w:val="0"/>
              <w:spacing w:before="0" w:after="283"/>
              <w:jc w:val="left"/>
              <w:rPr/>
            </w:pPr>
            <w:r>
              <w:rPr/>
              <w:t>/s/ Soon Huat Lim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Soon Huat Lim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sz w:val="20"/>
              </w:rPr>
            </w:pPr>
            <w:r>
              <w:rPr>
                <w:sz w:val="20"/>
              </w:rPr>
              <w:t>Chairman and 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25"/>
      <w:bookmarkEnd w:id="20"/>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Soon Huat Lim and Haiyan Huang, and each of them, individually, his or her true and lawful attorneys-in-fact and agents, with full power of substitution and resubstitution, in his or her name, place and stead, in any and all capacities (including his capacity as a director and/or officer of the registrant), to sign any and all amendments and post-effective amendments and supplements to this registration statement, and including any registration statement for the same offering that is to be effective upon filing pursuant to Rule 462(b) under the U.S. Securities Act of 1933, as amended,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substitute,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U.S. Securities Act of 1933, as amended, this Form F-3 registration statement has been signed by the following persons in the capacities and on the date indicated.</w:t>
      </w:r>
    </w:p>
    <w:p>
      <w:pPr>
        <w:pStyle w:val="TextBody"/>
        <w:bidi w:val="0"/>
        <w:spacing w:before="0" w:after="0"/>
        <w:ind w:left="0" w:right="0" w:firstLine="720"/>
        <w:jc w:val="both"/>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1760"/>
        <w:gridCol w:w="120"/>
        <w:gridCol w:w="3950"/>
        <w:gridCol w:w="120"/>
        <w:gridCol w:w="1535"/>
      </w:tblGrid>
      <w:tr>
        <w:trPr/>
        <w:tc>
          <w:tcPr>
            <w:tcW w:w="176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b/>
                <w:sz w:val="20"/>
              </w:rPr>
              <w:t>Name</w:t>
            </w:r>
            <w:r>
              <w:rPr>
                <w:rFonts w:ascii="Times New Roman;Times;Serif" w:hAnsi="Times New Roman;Times;Serif"/>
                <w:sz w:val="20"/>
              </w:rPr>
              <w:t>  </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3950"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Position</w:t>
            </w:r>
            <w:r>
              <w:rPr>
                <w:rFonts w:ascii="Times New Roman;Times;Serif" w:hAnsi="Times New Roman;Times;Serif"/>
                <w:sz w:val="20"/>
              </w:rPr>
              <w:t>  </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53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Date</w:t>
            </w:r>
            <w:r>
              <w:rPr>
                <w:rFonts w:ascii="Times New Roman;Times;Serif" w:hAnsi="Times New Roman;Times;Serif"/>
                <w:sz w:val="20"/>
              </w:rPr>
              <w:t>  </w:t>
            </w:r>
            <w:r>
              <w:rPr/>
              <w:t xml:space="preserve"> </w:t>
            </w:r>
          </w:p>
        </w:tc>
      </w:tr>
      <w:tr>
        <w:trPr/>
        <w:tc>
          <w:tcPr>
            <w:tcW w:w="1760" w:type="dxa"/>
            <w:tcBorders/>
            <w:tcMar>
              <w:bottom w:w="0" w:type="dxa"/>
            </w:tcMar>
            <w:vAlign w:val="center"/>
          </w:tcPr>
          <w:p>
            <w:pPr>
              <w:pStyle w:val="TableContents"/>
              <w:bidi w:val="0"/>
              <w:spacing w:before="0" w:after="283"/>
              <w:jc w:val="both"/>
              <w:rPr/>
            </w:pP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both"/>
              <w:rPr/>
            </w:pP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1535" w:type="dxa"/>
            <w:tcBorders/>
            <w:tcMar>
              <w:bottom w:w="0" w:type="dxa"/>
            </w:tcMar>
            <w:vAlign w:val="center"/>
          </w:tcPr>
          <w:p>
            <w:pPr>
              <w:pStyle w:val="TableContents"/>
              <w:bidi w:val="0"/>
              <w:spacing w:before="0" w:after="283"/>
              <w:jc w:val="center"/>
              <w:rPr/>
            </w:pPr>
            <w:r>
              <w:rPr/>
              <w:t xml:space="preserve">  </w:t>
            </w:r>
          </w:p>
        </w:tc>
      </w:tr>
      <w:tr>
        <w:trPr/>
        <w:tc>
          <w:tcPr>
            <w:tcW w:w="176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Soon Huat Lim</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center"/>
              <w:rPr/>
            </w:pPr>
            <w:r>
              <w:rPr>
                <w:rFonts w:ascii="Times New Roman;Times;Serif" w:hAnsi="Times New Roman;Times;Serif"/>
                <w:sz w:val="20"/>
              </w:rPr>
              <w:t>Founder, Chairman and Chief Executive Officer</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15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25, 2026  </w:t>
            </w:r>
            <w:r>
              <w:rPr/>
              <w:t xml:space="preserve"> </w:t>
            </w:r>
          </w:p>
        </w:tc>
      </w:tr>
      <w:tr>
        <w:trPr/>
        <w:tc>
          <w:tcPr>
            <w:tcW w:w="1760" w:type="dxa"/>
            <w:tcBorders/>
            <w:tcMar>
              <w:bottom w:w="0" w:type="dxa"/>
            </w:tcMar>
            <w:vAlign w:val="center"/>
          </w:tcPr>
          <w:p>
            <w:pPr>
              <w:pStyle w:val="TableContents"/>
              <w:bidi w:val="0"/>
              <w:spacing w:before="0" w:after="283"/>
              <w:jc w:val="both"/>
              <w:rPr/>
            </w:pPr>
            <w:r>
              <w:rPr>
                <w:rFonts w:ascii="Times New Roman;Times;Serif" w:hAnsi="Times New Roman;Times;Serif"/>
                <w:sz w:val="20"/>
              </w:rPr>
              <w:t>Soon Huat Lim</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center"/>
              <w:rPr/>
            </w:pPr>
            <w:r>
              <w:rPr>
                <w:rFonts w:ascii="Times New Roman;Times;Serif" w:hAnsi="Times New Roman;Times;Serif"/>
                <w:sz w:val="20"/>
              </w:rPr>
              <w:t>(Principal Executive Officer)</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1535" w:type="dxa"/>
            <w:tcBorders/>
            <w:tcMar>
              <w:bottom w:w="0" w:type="dxa"/>
            </w:tcMar>
            <w:vAlign w:val="center"/>
          </w:tcPr>
          <w:p>
            <w:pPr>
              <w:pStyle w:val="TableContents"/>
              <w:bidi w:val="0"/>
              <w:spacing w:before="0" w:after="283"/>
              <w:jc w:val="center"/>
              <w:rPr/>
            </w:pPr>
            <w:r>
              <w:rPr/>
              <w:t xml:space="preserve">  </w:t>
            </w:r>
          </w:p>
        </w:tc>
      </w:tr>
      <w:tr>
        <w:trPr/>
        <w:tc>
          <w:tcPr>
            <w:tcW w:w="1760" w:type="dxa"/>
            <w:tcBorders/>
            <w:tcMar>
              <w:bottom w:w="0" w:type="dxa"/>
            </w:tcMar>
            <w:vAlign w:val="center"/>
          </w:tcPr>
          <w:p>
            <w:pPr>
              <w:pStyle w:val="TableContents"/>
              <w:bidi w:val="0"/>
              <w:spacing w:before="0" w:after="283"/>
              <w:jc w:val="both"/>
              <w:rPr/>
            </w:pP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both"/>
              <w:rPr/>
            </w:pP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1535" w:type="dxa"/>
            <w:tcBorders/>
            <w:tcMar>
              <w:bottom w:w="0" w:type="dxa"/>
            </w:tcMar>
            <w:vAlign w:val="center"/>
          </w:tcPr>
          <w:p>
            <w:pPr>
              <w:pStyle w:val="TableContents"/>
              <w:bidi w:val="0"/>
              <w:spacing w:before="0" w:after="283"/>
              <w:jc w:val="center"/>
              <w:rPr/>
            </w:pPr>
            <w:r>
              <w:rPr/>
              <w:t xml:space="preserve">  </w:t>
            </w:r>
          </w:p>
        </w:tc>
      </w:tr>
      <w:tr>
        <w:trPr/>
        <w:tc>
          <w:tcPr>
            <w:tcW w:w="1760" w:type="dxa"/>
            <w:tcBorders>
              <w:bottom w:val="single" w:sz="12" w:space="0" w:color="000000"/>
            </w:tcBorders>
            <w:vAlign w:val="center"/>
          </w:tcPr>
          <w:p>
            <w:pPr>
              <w:pStyle w:val="TableContents"/>
              <w:bidi w:val="0"/>
              <w:spacing w:before="0" w:after="283"/>
              <w:jc w:val="both"/>
              <w:rPr/>
            </w:pPr>
            <w:r>
              <w:rPr>
                <w:rFonts w:ascii="Times New Roman;Times;Serif" w:hAnsi="Times New Roman;Times;Serif"/>
                <w:sz w:val="20"/>
              </w:rPr>
              <w:t>/s/ Haiyan Huang</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Chief Financial Officer </w:t>
            </w:r>
          </w:p>
        </w:tc>
        <w:tc>
          <w:tcPr>
            <w:tcW w:w="120" w:type="dxa"/>
            <w:tcBorders/>
            <w:tcMar>
              <w:bottom w:w="0" w:type="dxa"/>
            </w:tcMar>
            <w:vAlign w:val="center"/>
          </w:tcPr>
          <w:p>
            <w:pPr>
              <w:pStyle w:val="TableContents"/>
              <w:bidi w:val="0"/>
              <w:spacing w:before="0" w:after="283"/>
              <w:jc w:val="both"/>
              <w:rPr/>
            </w:pPr>
            <w:r>
              <w:rPr/>
              <w:t xml:space="preserve">  </w:t>
            </w:r>
          </w:p>
        </w:tc>
        <w:tc>
          <w:tcPr>
            <w:tcW w:w="15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25, 2026  </w:t>
            </w:r>
            <w:r>
              <w:rPr/>
              <w:t xml:space="preserve"> </w:t>
            </w:r>
          </w:p>
        </w:tc>
      </w:tr>
      <w:tr>
        <w:trPr/>
        <w:tc>
          <w:tcPr>
            <w:tcW w:w="1760" w:type="dxa"/>
            <w:tcBorders/>
            <w:tcMar>
              <w:bottom w:w="0" w:type="dxa"/>
            </w:tcMar>
            <w:vAlign w:val="center"/>
          </w:tcPr>
          <w:p>
            <w:pPr>
              <w:pStyle w:val="TableContents"/>
              <w:bidi w:val="0"/>
              <w:spacing w:before="0" w:after="283"/>
              <w:jc w:val="both"/>
              <w:rPr/>
            </w:pPr>
            <w:r>
              <w:rPr>
                <w:rFonts w:ascii="Times New Roman;Times;Serif" w:hAnsi="Times New Roman;Times;Serif"/>
                <w:sz w:val="20"/>
              </w:rPr>
              <w:t>Haiyan Huang</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center"/>
              <w:rPr/>
            </w:pPr>
            <w:r>
              <w:rPr>
                <w:rFonts w:ascii="Times New Roman;Times;Serif" w:hAnsi="Times New Roman;Times;Serif"/>
                <w:sz w:val="20"/>
              </w:rPr>
              <w:t>(Principal Financial Officer)</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1535" w:type="dxa"/>
            <w:tcBorders/>
            <w:tcMar>
              <w:bottom w:w="0" w:type="dxa"/>
            </w:tcMar>
            <w:vAlign w:val="center"/>
          </w:tcPr>
          <w:p>
            <w:pPr>
              <w:pStyle w:val="TableContents"/>
              <w:bidi w:val="0"/>
              <w:spacing w:before="0" w:after="283"/>
              <w:jc w:val="center"/>
              <w:rPr/>
            </w:pPr>
            <w:r>
              <w:rPr/>
              <w:t xml:space="preserve">  </w:t>
            </w:r>
          </w:p>
        </w:tc>
      </w:tr>
      <w:tr>
        <w:trPr/>
        <w:tc>
          <w:tcPr>
            <w:tcW w:w="1760" w:type="dxa"/>
            <w:tcBorders/>
            <w:tcMar>
              <w:bottom w:w="0" w:type="dxa"/>
            </w:tcMar>
            <w:vAlign w:val="center"/>
          </w:tcPr>
          <w:p>
            <w:pPr>
              <w:pStyle w:val="TableContents"/>
              <w:bidi w:val="0"/>
              <w:spacing w:before="0" w:after="283"/>
              <w:jc w:val="both"/>
              <w:rPr/>
            </w:pP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both"/>
              <w:rPr/>
            </w:pP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1535" w:type="dxa"/>
            <w:tcBorders/>
            <w:tcMar>
              <w:bottom w:w="0" w:type="dxa"/>
            </w:tcMar>
            <w:vAlign w:val="center"/>
          </w:tcPr>
          <w:p>
            <w:pPr>
              <w:pStyle w:val="TableContents"/>
              <w:bidi w:val="0"/>
              <w:spacing w:before="0" w:after="283"/>
              <w:jc w:val="center"/>
              <w:rPr/>
            </w:pPr>
            <w:r>
              <w:rPr/>
              <w:t xml:space="preserve">  </w:t>
            </w:r>
          </w:p>
        </w:tc>
      </w:tr>
      <w:tr>
        <w:trPr/>
        <w:tc>
          <w:tcPr>
            <w:tcW w:w="1760" w:type="dxa"/>
            <w:tcBorders>
              <w:bottom w:val="single" w:sz="12" w:space="0" w:color="000000"/>
            </w:tcBorders>
            <w:vAlign w:val="center"/>
          </w:tcPr>
          <w:p>
            <w:pPr>
              <w:pStyle w:val="TableContents"/>
              <w:bidi w:val="0"/>
              <w:spacing w:before="0" w:after="283"/>
              <w:jc w:val="both"/>
              <w:rPr/>
            </w:pPr>
            <w:r>
              <w:rPr>
                <w:rFonts w:ascii="Times New Roman;Times;Serif" w:hAnsi="Times New Roman;Times;Serif"/>
                <w:sz w:val="20"/>
              </w:rPr>
              <w:t>/s/ Poh Kiong Tan</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Chief Technology Officer and Director </w:t>
            </w:r>
          </w:p>
        </w:tc>
        <w:tc>
          <w:tcPr>
            <w:tcW w:w="120" w:type="dxa"/>
            <w:tcBorders/>
            <w:tcMar>
              <w:bottom w:w="0" w:type="dxa"/>
            </w:tcMar>
            <w:vAlign w:val="center"/>
          </w:tcPr>
          <w:p>
            <w:pPr>
              <w:pStyle w:val="TableContents"/>
              <w:bidi w:val="0"/>
              <w:spacing w:before="0" w:after="283"/>
              <w:jc w:val="both"/>
              <w:rPr/>
            </w:pPr>
            <w:r>
              <w:rPr/>
              <w:t xml:space="preserve">  </w:t>
            </w:r>
          </w:p>
        </w:tc>
        <w:tc>
          <w:tcPr>
            <w:tcW w:w="15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25, 2026  </w:t>
            </w:r>
            <w:r>
              <w:rPr/>
              <w:t xml:space="preserve"> </w:t>
            </w:r>
          </w:p>
        </w:tc>
      </w:tr>
      <w:tr>
        <w:trPr/>
        <w:tc>
          <w:tcPr>
            <w:tcW w:w="1760" w:type="dxa"/>
            <w:tcBorders/>
            <w:tcMar>
              <w:bottom w:w="0" w:type="dxa"/>
            </w:tcMar>
            <w:vAlign w:val="center"/>
          </w:tcPr>
          <w:p>
            <w:pPr>
              <w:pStyle w:val="TableContents"/>
              <w:bidi w:val="0"/>
              <w:spacing w:before="0" w:after="283"/>
              <w:jc w:val="both"/>
              <w:rPr/>
            </w:pPr>
            <w:r>
              <w:rPr>
                <w:rFonts w:ascii="Times New Roman;Times;Serif" w:hAnsi="Times New Roman;Times;Serif"/>
                <w:sz w:val="20"/>
              </w:rPr>
              <w:t>Poh Kiong Tan</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left"/>
              <w:rPr>
                <w:sz w:val="4"/>
                <w:szCs w:val="4"/>
              </w:rPr>
            </w:pPr>
            <w:r>
              <w:rPr>
                <w:sz w:val="4"/>
                <w:szCs w:val="4"/>
              </w:rPr>
            </w:r>
          </w:p>
        </w:tc>
        <w:tc>
          <w:tcPr>
            <w:tcW w:w="120" w:type="dxa"/>
            <w:tcBorders/>
            <w:tcMar>
              <w:bottom w:w="0" w:type="dxa"/>
            </w:tcMar>
            <w:vAlign w:val="center"/>
          </w:tcPr>
          <w:p>
            <w:pPr>
              <w:pStyle w:val="TableContents"/>
              <w:bidi w:val="0"/>
              <w:spacing w:before="0" w:after="283"/>
              <w:jc w:val="center"/>
              <w:rPr/>
            </w:pPr>
            <w:r>
              <w:rPr/>
              <w:t xml:space="preserve">  </w:t>
            </w:r>
          </w:p>
        </w:tc>
        <w:tc>
          <w:tcPr>
            <w:tcW w:w="1535" w:type="dxa"/>
            <w:tcBorders/>
            <w:tcMar>
              <w:bottom w:w="0" w:type="dxa"/>
            </w:tcMar>
            <w:vAlign w:val="center"/>
          </w:tcPr>
          <w:p>
            <w:pPr>
              <w:pStyle w:val="TableContents"/>
              <w:bidi w:val="0"/>
              <w:spacing w:before="0" w:after="283"/>
              <w:jc w:val="center"/>
              <w:rPr/>
            </w:pPr>
            <w:r>
              <w:rPr/>
              <w:t xml:space="preserve">  </w:t>
            </w:r>
          </w:p>
        </w:tc>
      </w:tr>
      <w:tr>
        <w:trPr/>
        <w:tc>
          <w:tcPr>
            <w:tcW w:w="1760" w:type="dxa"/>
            <w:tcBorders/>
            <w:tcMar>
              <w:bottom w:w="0" w:type="dxa"/>
            </w:tcMar>
            <w:vAlign w:val="center"/>
          </w:tcPr>
          <w:p>
            <w:pPr>
              <w:pStyle w:val="TableContents"/>
              <w:bidi w:val="0"/>
              <w:spacing w:before="0" w:after="283"/>
              <w:jc w:val="both"/>
              <w:rPr/>
            </w:pP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535" w:type="dxa"/>
            <w:tcBorders/>
            <w:tcMar>
              <w:bottom w:w="0" w:type="dxa"/>
            </w:tcMar>
            <w:vAlign w:val="center"/>
          </w:tcPr>
          <w:p>
            <w:pPr>
              <w:pStyle w:val="TableContents"/>
              <w:bidi w:val="0"/>
              <w:spacing w:before="0" w:after="283"/>
              <w:jc w:val="center"/>
              <w:rPr/>
            </w:pPr>
            <w:r>
              <w:rPr/>
              <w:t xml:space="preserve">  </w:t>
            </w:r>
          </w:p>
        </w:tc>
      </w:tr>
      <w:tr>
        <w:trPr/>
        <w:tc>
          <w:tcPr>
            <w:tcW w:w="1760" w:type="dxa"/>
            <w:tcBorders>
              <w:bottom w:val="single" w:sz="12" w:space="0" w:color="000000"/>
            </w:tcBorders>
            <w:vAlign w:val="center"/>
          </w:tcPr>
          <w:p>
            <w:pPr>
              <w:pStyle w:val="TableContents"/>
              <w:bidi w:val="0"/>
              <w:spacing w:before="0" w:after="283"/>
              <w:jc w:val="both"/>
              <w:rPr/>
            </w:pPr>
            <w:r>
              <w:rPr>
                <w:rFonts w:ascii="Times New Roman;Times;Serif" w:hAnsi="Times New Roman;Times;Serif"/>
                <w:sz w:val="20"/>
              </w:rPr>
              <w:t>/s/ How Teck Lim</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center"/>
              <w:rPr/>
            </w:pPr>
            <w:r>
              <w:rPr>
                <w:rFonts w:ascii="Times New Roman;Times;Serif" w:hAnsi="Times New Roman;Times;Serif"/>
                <w:sz w:val="20"/>
              </w:rPr>
              <w:t>Independent director  </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5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25, 2026  </w:t>
            </w:r>
            <w:r>
              <w:rPr/>
              <w:t xml:space="preserve"> </w:t>
            </w:r>
          </w:p>
        </w:tc>
      </w:tr>
      <w:tr>
        <w:trPr/>
        <w:tc>
          <w:tcPr>
            <w:tcW w:w="1760" w:type="dxa"/>
            <w:tcBorders/>
            <w:tcMar>
              <w:bottom w:w="0" w:type="dxa"/>
            </w:tcMar>
            <w:vAlign w:val="center"/>
          </w:tcPr>
          <w:p>
            <w:pPr>
              <w:pStyle w:val="TableContents"/>
              <w:bidi w:val="0"/>
              <w:spacing w:before="0" w:after="283"/>
              <w:jc w:val="both"/>
              <w:rPr/>
            </w:pPr>
            <w:r>
              <w:rPr>
                <w:rFonts w:ascii="Times New Roman;Times;Serif" w:hAnsi="Times New Roman;Times;Serif"/>
                <w:sz w:val="20"/>
              </w:rPr>
              <w:t>How Teck Lim</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left"/>
              <w:rPr>
                <w:sz w:val="4"/>
                <w:szCs w:val="4"/>
              </w:rPr>
            </w:pPr>
            <w:r>
              <w:rPr>
                <w:sz w:val="4"/>
                <w:szCs w:val="4"/>
              </w:rPr>
            </w:r>
          </w:p>
        </w:tc>
        <w:tc>
          <w:tcPr>
            <w:tcW w:w="120" w:type="dxa"/>
            <w:tcBorders/>
            <w:tcMar>
              <w:bottom w:w="0" w:type="dxa"/>
            </w:tcMar>
            <w:vAlign w:val="center"/>
          </w:tcPr>
          <w:p>
            <w:pPr>
              <w:pStyle w:val="TableContents"/>
              <w:bidi w:val="0"/>
              <w:spacing w:before="0" w:after="283"/>
              <w:jc w:val="center"/>
              <w:rPr/>
            </w:pPr>
            <w:r>
              <w:rPr/>
              <w:t xml:space="preserve">  </w:t>
            </w:r>
          </w:p>
        </w:tc>
        <w:tc>
          <w:tcPr>
            <w:tcW w:w="1535" w:type="dxa"/>
            <w:tcBorders/>
            <w:tcMar>
              <w:bottom w:w="0" w:type="dxa"/>
            </w:tcMar>
            <w:vAlign w:val="center"/>
          </w:tcPr>
          <w:p>
            <w:pPr>
              <w:pStyle w:val="TableContents"/>
              <w:bidi w:val="0"/>
              <w:spacing w:before="0" w:after="283"/>
              <w:jc w:val="center"/>
              <w:rPr/>
            </w:pPr>
            <w:r>
              <w:rPr/>
              <w:t xml:space="preserve">  </w:t>
            </w:r>
          </w:p>
        </w:tc>
      </w:tr>
      <w:tr>
        <w:trPr/>
        <w:tc>
          <w:tcPr>
            <w:tcW w:w="1760" w:type="dxa"/>
            <w:tcBorders/>
            <w:tcMar>
              <w:bottom w:w="0" w:type="dxa"/>
            </w:tcMar>
            <w:vAlign w:val="center"/>
          </w:tcPr>
          <w:p>
            <w:pPr>
              <w:pStyle w:val="TableContents"/>
              <w:bidi w:val="0"/>
              <w:spacing w:before="0" w:after="283"/>
              <w:jc w:val="both"/>
              <w:rPr/>
            </w:pP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535" w:type="dxa"/>
            <w:tcBorders/>
            <w:tcMar>
              <w:bottom w:w="0" w:type="dxa"/>
            </w:tcMar>
            <w:vAlign w:val="center"/>
          </w:tcPr>
          <w:p>
            <w:pPr>
              <w:pStyle w:val="TableContents"/>
              <w:bidi w:val="0"/>
              <w:spacing w:before="0" w:after="283"/>
              <w:jc w:val="center"/>
              <w:rPr/>
            </w:pPr>
            <w:r>
              <w:rPr/>
              <w:t xml:space="preserve">  </w:t>
            </w:r>
          </w:p>
        </w:tc>
      </w:tr>
      <w:tr>
        <w:trPr/>
        <w:tc>
          <w:tcPr>
            <w:tcW w:w="176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Noi Keng Koh</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center"/>
              <w:rPr/>
            </w:pPr>
            <w:r>
              <w:rPr>
                <w:rFonts w:ascii="Times New Roman;Times;Serif" w:hAnsi="Times New Roman;Times;Serif"/>
                <w:sz w:val="20"/>
              </w:rPr>
              <w:t>Independent director  </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5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25, 2026  </w:t>
            </w:r>
            <w:r>
              <w:rPr/>
              <w:t xml:space="preserve"> </w:t>
            </w:r>
          </w:p>
        </w:tc>
      </w:tr>
      <w:tr>
        <w:trPr/>
        <w:tc>
          <w:tcPr>
            <w:tcW w:w="1760" w:type="dxa"/>
            <w:tcBorders/>
            <w:tcMar>
              <w:bottom w:w="0" w:type="dxa"/>
            </w:tcMar>
            <w:vAlign w:val="center"/>
          </w:tcPr>
          <w:p>
            <w:pPr>
              <w:pStyle w:val="TableContents"/>
              <w:bidi w:val="0"/>
              <w:spacing w:before="0" w:after="283"/>
              <w:jc w:val="both"/>
              <w:rPr/>
            </w:pPr>
            <w:r>
              <w:rPr>
                <w:rFonts w:ascii="Times New Roman;Times;Serif" w:hAnsi="Times New Roman;Times;Serif"/>
                <w:sz w:val="20"/>
              </w:rPr>
              <w:t>Noi Keng Koh</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left"/>
              <w:rPr>
                <w:sz w:val="4"/>
                <w:szCs w:val="4"/>
              </w:rPr>
            </w:pPr>
            <w:r>
              <w:rPr>
                <w:sz w:val="4"/>
                <w:szCs w:val="4"/>
              </w:rPr>
            </w:r>
          </w:p>
        </w:tc>
        <w:tc>
          <w:tcPr>
            <w:tcW w:w="120" w:type="dxa"/>
            <w:tcBorders/>
            <w:tcMar>
              <w:bottom w:w="0" w:type="dxa"/>
            </w:tcMar>
            <w:vAlign w:val="center"/>
          </w:tcPr>
          <w:p>
            <w:pPr>
              <w:pStyle w:val="TableContents"/>
              <w:bidi w:val="0"/>
              <w:spacing w:before="0" w:after="283"/>
              <w:jc w:val="center"/>
              <w:rPr/>
            </w:pPr>
            <w:r>
              <w:rPr/>
              <w:t xml:space="preserve">  </w:t>
            </w:r>
          </w:p>
        </w:tc>
        <w:tc>
          <w:tcPr>
            <w:tcW w:w="1535" w:type="dxa"/>
            <w:tcBorders/>
            <w:tcMar>
              <w:bottom w:w="0" w:type="dxa"/>
            </w:tcMar>
            <w:vAlign w:val="center"/>
          </w:tcPr>
          <w:p>
            <w:pPr>
              <w:pStyle w:val="TableContents"/>
              <w:bidi w:val="0"/>
              <w:spacing w:before="0" w:after="283"/>
              <w:jc w:val="center"/>
              <w:rPr/>
            </w:pPr>
            <w:r>
              <w:rPr/>
              <w:t xml:space="preserve">  </w:t>
            </w:r>
          </w:p>
        </w:tc>
      </w:tr>
      <w:tr>
        <w:trPr/>
        <w:tc>
          <w:tcPr>
            <w:tcW w:w="1760" w:type="dxa"/>
            <w:tcBorders/>
            <w:tcMar>
              <w:bottom w:w="0" w:type="dxa"/>
            </w:tcMar>
            <w:vAlign w:val="center"/>
          </w:tcPr>
          <w:p>
            <w:pPr>
              <w:pStyle w:val="TableContents"/>
              <w:bidi w:val="0"/>
              <w:spacing w:before="0" w:after="283"/>
              <w:jc w:val="both"/>
              <w:rPr/>
            </w:pP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535" w:type="dxa"/>
            <w:tcBorders/>
            <w:tcMar>
              <w:bottom w:w="0" w:type="dxa"/>
            </w:tcMar>
            <w:vAlign w:val="center"/>
          </w:tcPr>
          <w:p>
            <w:pPr>
              <w:pStyle w:val="TableContents"/>
              <w:bidi w:val="0"/>
              <w:spacing w:before="0" w:after="283"/>
              <w:jc w:val="center"/>
              <w:rPr/>
            </w:pPr>
            <w:r>
              <w:rPr/>
              <w:t xml:space="preserve">  </w:t>
            </w:r>
          </w:p>
        </w:tc>
      </w:tr>
      <w:tr>
        <w:trPr/>
        <w:tc>
          <w:tcPr>
            <w:tcW w:w="1760" w:type="dxa"/>
            <w:tcBorders>
              <w:bottom w:val="single" w:sz="12" w:space="0" w:color="000000"/>
            </w:tcBorders>
            <w:vAlign w:val="center"/>
          </w:tcPr>
          <w:p>
            <w:pPr>
              <w:pStyle w:val="TableContents"/>
              <w:bidi w:val="0"/>
              <w:spacing w:before="0" w:after="283"/>
              <w:jc w:val="both"/>
              <w:rPr/>
            </w:pPr>
            <w:r>
              <w:rPr>
                <w:rFonts w:ascii="Times New Roman;Times;Serif" w:hAnsi="Times New Roman;Times;Serif"/>
                <w:sz w:val="20"/>
              </w:rPr>
              <w:t>/s/ Chwee Koh Chua</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center"/>
              <w:rPr/>
            </w:pPr>
            <w:r>
              <w:rPr>
                <w:rFonts w:ascii="Times New Roman;Times;Serif" w:hAnsi="Times New Roman;Times;Serif"/>
                <w:sz w:val="20"/>
              </w:rPr>
              <w:t>Independent director</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5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25, 2026  </w:t>
            </w:r>
            <w:r>
              <w:rPr/>
              <w:t xml:space="preserve"> </w:t>
            </w:r>
          </w:p>
        </w:tc>
      </w:tr>
      <w:tr>
        <w:trPr/>
        <w:tc>
          <w:tcPr>
            <w:tcW w:w="1760" w:type="dxa"/>
            <w:tcBorders/>
            <w:tcMar>
              <w:bottom w:w="0" w:type="dxa"/>
            </w:tcMar>
            <w:vAlign w:val="center"/>
          </w:tcPr>
          <w:p>
            <w:pPr>
              <w:pStyle w:val="TableContents"/>
              <w:bidi w:val="0"/>
              <w:spacing w:before="0" w:after="283"/>
              <w:jc w:val="both"/>
              <w:rPr/>
            </w:pPr>
            <w:r>
              <w:rPr>
                <w:rFonts w:ascii="Times New Roman;Times;Serif" w:hAnsi="Times New Roman;Times;Serif"/>
                <w:sz w:val="20"/>
              </w:rPr>
              <w:t>Chwee Koh Chua</w:t>
            </w:r>
            <w:r>
              <w:rPr/>
              <w:t xml:space="preserve"> </w:t>
            </w:r>
          </w:p>
        </w:tc>
        <w:tc>
          <w:tcPr>
            <w:tcW w:w="120" w:type="dxa"/>
            <w:tcBorders/>
            <w:tcMar>
              <w:bottom w:w="0" w:type="dxa"/>
            </w:tcMar>
            <w:vAlign w:val="center"/>
          </w:tcPr>
          <w:p>
            <w:pPr>
              <w:pStyle w:val="TableContents"/>
              <w:bidi w:val="0"/>
              <w:spacing w:before="0" w:after="283"/>
              <w:jc w:val="both"/>
              <w:rPr/>
            </w:pPr>
            <w:r>
              <w:rPr/>
              <w:t xml:space="preserve">  </w:t>
            </w:r>
          </w:p>
        </w:tc>
        <w:tc>
          <w:tcPr>
            <w:tcW w:w="3950" w:type="dxa"/>
            <w:tcBorders/>
            <w:tcMar>
              <w:bottom w:w="0" w:type="dxa"/>
            </w:tcMar>
            <w:vAlign w:val="center"/>
          </w:tcPr>
          <w:p>
            <w:pPr>
              <w:pStyle w:val="TableContents"/>
              <w:bidi w:val="0"/>
              <w:spacing w:before="0" w:after="283"/>
              <w:jc w:val="left"/>
              <w:rPr>
                <w:sz w:val="4"/>
                <w:szCs w:val="4"/>
              </w:rPr>
            </w:pPr>
            <w:r>
              <w:rPr>
                <w:sz w:val="4"/>
                <w:szCs w:val="4"/>
              </w:rPr>
            </w:r>
          </w:p>
        </w:tc>
        <w:tc>
          <w:tcPr>
            <w:tcW w:w="120" w:type="dxa"/>
            <w:tcBorders/>
            <w:tcMar>
              <w:bottom w:w="0" w:type="dxa"/>
            </w:tcMar>
            <w:vAlign w:val="center"/>
          </w:tcPr>
          <w:p>
            <w:pPr>
              <w:pStyle w:val="TableContents"/>
              <w:bidi w:val="0"/>
              <w:spacing w:before="0" w:after="283"/>
              <w:jc w:val="both"/>
              <w:rPr/>
            </w:pPr>
            <w:r>
              <w:rPr/>
              <w:t xml:space="preserve">  </w:t>
            </w:r>
          </w:p>
        </w:tc>
        <w:tc>
          <w:tcPr>
            <w:tcW w:w="1535" w:type="dxa"/>
            <w:tcBorders/>
            <w:tcMar>
              <w:bottom w:w="0" w:type="dxa"/>
            </w:tcMar>
            <w:vAlign w:val="center"/>
          </w:tcPr>
          <w:p>
            <w:pPr>
              <w:pStyle w:val="TableContents"/>
              <w:bidi w:val="0"/>
              <w:spacing w:before="0" w:after="283"/>
              <w:jc w:val="center"/>
              <w:rPr/>
            </w:pPr>
            <w:r>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Securities Act of 1933 as amended, the undersigned, the duly authorized representative in the United States of America, has signed this registration statement thereto in New York, United States on August 25, 2026. </w:t>
      </w:r>
    </w:p>
    <w:p>
      <w:pPr>
        <w:pStyle w:val="TextBody"/>
        <w:bidi w:val="0"/>
        <w:spacing w:before="0" w:after="0"/>
        <w:ind w:left="0" w:right="0" w:firstLine="72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710"/>
        <w:gridCol w:w="2255"/>
      </w:tblGrid>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By:</w:t>
            </w:r>
          </w:p>
        </w:tc>
        <w:tc>
          <w:tcPr>
            <w:tcW w:w="2255" w:type="dxa"/>
            <w:tcBorders>
              <w:bottom w:val="single" w:sz="12" w:space="0" w:color="000000"/>
            </w:tcBorders>
            <w:tcMar>
              <w:bottom w:w="28" w:type="dxa"/>
            </w:tcMar>
            <w:vAlign w:val="center"/>
          </w:tcPr>
          <w:p>
            <w:pPr>
              <w:pStyle w:val="TableContents"/>
              <w:bidi w:val="0"/>
              <w:spacing w:before="0" w:after="283"/>
              <w:jc w:val="both"/>
              <w:rPr/>
            </w:pPr>
            <w:r>
              <w:rPr/>
              <w:t>/s/ Colleen A. De Vries</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Name: </w:t>
            </w:r>
          </w:p>
        </w:tc>
        <w:tc>
          <w:tcPr>
            <w:tcW w:w="2255" w:type="dxa"/>
            <w:tcBorders/>
            <w:vAlign w:val="center"/>
          </w:tcPr>
          <w:p>
            <w:pPr>
              <w:pStyle w:val="TableContents"/>
              <w:bidi w:val="0"/>
              <w:spacing w:before="0" w:after="283"/>
              <w:jc w:val="both"/>
              <w:rPr/>
            </w:pPr>
            <w:r>
              <w:rPr/>
              <w:t>Colleen A. De Vries</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Title:</w:t>
            </w:r>
          </w:p>
        </w:tc>
        <w:tc>
          <w:tcPr>
            <w:tcW w:w="2255" w:type="dxa"/>
            <w:tcBorders/>
            <w:vAlign w:val="center"/>
          </w:tcPr>
          <w:p>
            <w:pPr>
              <w:pStyle w:val="TableContents"/>
              <w:bidi w:val="0"/>
              <w:spacing w:before="0" w:after="283"/>
              <w:jc w:val="left"/>
              <w:rPr/>
            </w:pPr>
            <w:r>
              <w:rPr/>
              <w:t>Senior Vice President</w:t>
              <w:br/>
              <w:t>Cogency Global Inc.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983550/000121390026048646/ea0286241-20f_trident.htm" TargetMode="External"/><Relationship Id="rId4" Type="http://schemas.openxmlformats.org/officeDocument/2006/relationships/hyperlink" Target="https://www.sec.gov/Archives/edgar/data/1983550/000121390026038616/ea0284311-6k_trident.htm" TargetMode="External"/><Relationship Id="rId5" Type="http://schemas.openxmlformats.org/officeDocument/2006/relationships/hyperlink" Target="https://www.sec.gov/Archives/edgar/data/1983550/000121390026041134/ea0284930-6k_trident.htm" TargetMode="External"/><Relationship Id="rId6" Type="http://schemas.openxmlformats.org/officeDocument/2006/relationships/hyperlink" Target="https://www.sec.gov/Archives/edgar/data/1983550/000121390026045846/ea0286433-6k_trident.htm" TargetMode="External"/><Relationship Id="rId7" Type="http://schemas.openxmlformats.org/officeDocument/2006/relationships/hyperlink" Target="https://www.sec.gov/Archives/edgar/data/1983550/000121390026051029/ea0288501-6k_trident.htm" TargetMode="External"/><Relationship Id="rId8" Type="http://schemas.openxmlformats.org/officeDocument/2006/relationships/hyperlink" Target="https://www.sec.gov/Archives/edgar/data/1983550/000121390026053541/ea0289652-6k_trident.htm" TargetMode="External"/><Relationship Id="rId9" Type="http://schemas.openxmlformats.org/officeDocument/2006/relationships/hyperlink" Target="https://www.sec.gov/Archives/edgar/data/1983550/000121390026061560/ea0292282-6k_trident.htm" TargetMode="External"/><Relationship Id="rId10" Type="http://schemas.openxmlformats.org/officeDocument/2006/relationships/hyperlink" Target="https://www.sec.gov/Archives/edgar/data/1983550/000121390026069311/ea0294933-6k_trident.htm" TargetMode="External"/><Relationship Id="rId11" Type="http://schemas.openxmlformats.org/officeDocument/2006/relationships/hyperlink" Target="https://www.sec.gov/Archives/edgar/data/1983550/000121390026069461/ea0294747-01.htm" TargetMode="External"/><Relationship Id="rId12" Type="http://schemas.openxmlformats.org/officeDocument/2006/relationships/hyperlink" Target="https://www.sec.gov/Archives/edgar/data/1983550/000121390026073786/ea0296454-01.htm" TargetMode="External"/><Relationship Id="rId13" Type="http://schemas.openxmlformats.org/officeDocument/2006/relationships/hyperlink" Target="https://www.sec.gov/Archives/edgar/data/1983550/000121390026076184/ea0297232-6k_trident.htm" TargetMode="External"/><Relationship Id="rId14" Type="http://schemas.openxmlformats.org/officeDocument/2006/relationships/hyperlink" Target="https://www.sec.gov/Archives/edgar/data/1983550/000121390026073786/ea029645401ex99-4.htm" TargetMode="External"/><Relationship Id="rId15" Type="http://schemas.openxmlformats.org/officeDocument/2006/relationships/hyperlink" Target="https://www.sec.gov/Archives/edgar/data/1983550/000121390026087769/ea030132001ex5-1.htm" TargetMode="External"/><Relationship Id="rId16" Type="http://schemas.openxmlformats.org/officeDocument/2006/relationships/hyperlink" Target="https://www.sec.gov/Archives/edgar/data/1983550/000121390026087769/ea030132001ex23-1.htm" TargetMode="External"/><Relationship Id="rId17" Type="http://schemas.openxmlformats.org/officeDocument/2006/relationships/hyperlink" Target="https://www.sec.gov/Archives/edgar/data/1983550/000121390026087769/ea030132001ex23-2.htm" TargetMode="External"/><Relationship Id="rId18" Type="http://schemas.openxmlformats.org/officeDocument/2006/relationships/hyperlink" Target="https://www.sec.gov/Archives/edgar/data/1983550/000121390026087769/ea030132001ex5-1.htm" TargetMode="External"/><Relationship Id="rId19" Type="http://schemas.openxmlformats.org/officeDocument/2006/relationships/hyperlink" Target="https://www.sec.gov/ix?doc=/Archives/edgar/data/1983550/000121390026087769/ea030132001ex-fee.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18974</Words>
  <Characters>99662</Characters>
  <CharactersWithSpaces>118951</CharactersWithSpaces>
  <Paragraphs>1508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