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1320-f3_trident.htm"/>
      <w:bookmarkStart w:id="1" w:name="ksea0301320f3_trident"/>
      <w:bookmarkEnd w:id="0"/>
      <w:bookmarkEnd w:id="1"/>
      <w:r>
        <w:rPr>
          <w:rFonts w:ascii="Times New Roman;Times;Serif" w:hAnsi="Times New Roman;Times;Serif"/>
          <w:b/>
          <w:i w:val="false"/>
          <w:caps w:val="false"/>
          <w:smallCaps w:val="false"/>
          <w:sz w:val="20"/>
        </w:rPr>
        <w:t>As filed with the Securities and Exchange Commission on August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+65 6513 6868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(800) 221-0102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S. Venick,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10100 Santa Monica Blvd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Angeles, CA 90067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(310) 728-5129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Class B ordinary shares, preferred shares, debt securities, rights and/or units, of an aggregate offering price of up to US$200,000,000. The prospectus supplement for each offering of securities will describe in detail the plan of distribution for that offering. For general information about the distribution of securities offered, please see “Plan of Distribution of the Primary Offering”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all of our assets are located outside of the United States. Substantially all of our current operations are conducted in Singapore. Our Class B ordinary shares are shares of Trident Cayman, the offshore holding company in the Cayman Islands, instead of shares of our subsidiaries. Investors may never directly hold equity interests in our subsidiaries. An investment in our Class B ordinary shares involves a number of risks, including risks relating to our business and industry, risks relating to the jurisdictions where we operate, and risks relating to our Class B ordinary shares. For more details, please refer to our annual report on Form 20-F for the year ended December 31, 2025 under the heading of “Risk Factors” for a more thorough description of these and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ordinary shares are listed on the Nasdaq Capital Market, under the symbol “TDTH.” On August 10, 2026, the closing trading price for our Class B ordinary shares, as reported on Nasdaq Capital Market, was US $2.37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The aggregate market value of our issued and outstanding Class B ordinary shares held by non-affiliates, or public float, as of July 22, 2026, was approximately US$ 8,634,997, which was calculated based on 2,849,834 Class B ordinary shares held by non-affiliates and the per share price of US$ 3.03, which was the closing price of our Class B ordinary shares on July 22, 2026.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these securities, we will provide a supplement to this prospectus that contains specific information about the offering and the terms of the securities offered. The supplement may also add, update or change information contained in this prospectus. You should carefully read this prospectus and any prospectus supplement before you invest in any of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our Memorandum and Articles of Association. As of the date of this prospectus, (i) 208,333 Class A ordinary shares, and (ii) 4,510,523 Class B ordinary shares are issued and outstanding. In respect of matters requiring shareholders’ vote, each Class A Ordinary Share is entitled to sixty (60) votes, each Class B Ordinary Share is entitled to one vote and each Class C Ordinary Share is entitled to one vote. Each Class A ordinary share and Class C ordinary share is convertible into one Class B ordinary share at any time by the holder thereof, while Class B ordinary shares are not convertible into Class A ordinary shares or Class C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B ordinary shares as a source for any future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risks. See the “Risk Factors” section contained in this prospectus, the applicable prospectus supplement and the documents we incorporate by reference in this prospectus to read about factors you should consider before investing in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__________,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5765"/>
        <w:gridCol w:w="60"/>
        <w:gridCol w:w="275"/>
      </w:tblGrid>
      <w:tr>
        <w:trPr/>
        <w:tc>
          <w:tcPr>
            <w:tcW w:w="5765" w:type="dxa"/>
            <w:tcBorders/>
            <w:shd w:fill="CCEEFF" w:val="clear"/>
            <w:vAlign w:val="center"/>
          </w:tcPr>
          <w:p>
            <w:pPr>
              <w:pStyle w:val="TableContents"/>
              <w:bidi w:val="0"/>
              <w:spacing w:before="0" w:after="283"/>
              <w:ind w:left="0" w:right="0" w:hanging="200"/>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5</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6</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7</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8</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THE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8</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PREFERRED SHARES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19</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20</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22</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23</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26</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26</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200"/>
              <w:jc w:val="center"/>
              <w:rPr/>
            </w:pPr>
            <w:r>
              <w:rPr/>
              <w:t>27</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200"/>
              <w:jc w:val="center"/>
              <w:rPr/>
            </w:pPr>
            <w:r>
              <w:rPr/>
              <w:t>27</w:t>
            </w:r>
          </w:p>
        </w:tc>
      </w:tr>
      <w:tr>
        <w:trPr/>
        <w:tc>
          <w:tcPr>
            <w:tcW w:w="576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WHERE YOU CAN FIND MORE INFORMATION ABOUT US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together with the additional information described under the heading “Where You Can Find More Information About Us” and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refers to our Class A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refers to our Class B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C ordinary shares” refers to our Class C ordinary shares, par value US$0.0024 per share;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Companies Act” refers to the Companies Act (As Revised) of the Cayman Islands;</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Exchange Act” refers to the Securities Exchange Act of 1934, as amended;</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IMDA” refers to Infocomm Media Development Authority, a statutory board under the Singapore Ministry of Communications and Information of the Republic of Singapore;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Memorandum and Articles of Association” refers to our memorandum and articles of association, as amended and restated from time to time;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 xml:space="preserve">ordinary shares” refers to our Class A ordinary shares, Class B ordinary shares and Class C ordinary shares, par value US$0.0024 per share;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S$” or “SGD” refers to the Singapore dollar, the legal currency of Singapore;</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SEC” refers to the United States Securities and Exchange Commission;</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w:t>
            </w:r>
            <w:r>
              <w:rPr/>
              <w:t>Securities Act” refers to the United States Securities Act of 1933, as amended;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w:t>
            </w:r>
            <w:r>
              <w:rPr/>
              <w:t>Singapore” refers to the Republic of Singapore;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SME” refers to small and medium enterprises;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Trident Singapore” refers to Trident Digital Tech Pte. Ltd., a company incorporated in Singapore, and an indirect wholly-owned subsidiary of our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 “dollars,” or “U.S. dollars” refers to the legal currency of the United States;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GAAP” refers to generally accepted accounting principles in the United States;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we,” “us,” “our company,” the “Company,” “Trident Cayman” and “our” refer to Trident Digital Tech Holdings Ltd, a Cayman Islands company and its subsidiaries.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discrepancies in any table in this prospectus between the amounts identified as total amounts and the sum of the amounts listed therein are due to rounding.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U.S. Securities and Exchange Commission (the “SEC”), using a shelf registration process permitted under the Securities Act of 1933, as amended (the “Securities Act”). By using a shelf registration statement, we may sell any of our securities to the extent permitted in this prospectus and the applicable prospectus supplement,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elsewhere in this prospectus o</w:t>
      </w:r>
      <w:r>
        <w:rPr>
          <w:rFonts w:ascii="Times New Roman;Times;Serif" w:hAnsi="Times New Roman;Times;Serif"/>
          <w:b w:val="false"/>
          <w:i/>
          <w:caps w:val="false"/>
          <w:smallCaps w:val="false"/>
          <w:sz w:val="20"/>
          <w:bdr w:val="single" w:sz="12" w:space="1" w:color="000000"/>
          <w:shd w:fill="FFFFFF" w:val="clear"/>
        </w:rPr>
        <w:t>r incorporated by reference in this prospectus, </w:t>
      </w:r>
      <w:r>
        <w:rPr>
          <w:rFonts w:ascii="Times New Roman;Times;Serif" w:hAnsi="Times New Roman;Times;Serif"/>
          <w:b w:val="false"/>
          <w:i/>
          <w:caps w:val="false"/>
          <w:smallCaps w:val="false"/>
          <w:sz w:val="20"/>
          <w:bdr w:val="single" w:sz="12" w:space="1" w:color="000000"/>
        </w:rPr>
        <w:t>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 Investors should note that Trident Digital Tech Holdings Ltd, our ultimate Cayman Islands holding company, is not an operating company, and all of our assets are located outside of the United States. Substantially all of our current operations are conducted in Singapore.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leading catalyst for digital transformation in digital optimization, technology services, and Web 3.0 activation worldwide, based in Singapore. In 2025, we undertook a strategic transition from business consulting and IT customization-led model to our proprietary Web 3.0 and blockchain-enabled platform, Tridentity, and offer Web 3.0 activation and digital identity solutions to Singapore, Africa and other high-growth markets.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Historically, we derived a majority of our revenues from business consulting and IT customization services provided primarily to SMEs in Singapore. In 2025, we substantially scaled back these legacy operations. We discontinued our business consulting services and significantly scaled back our IT customization operations to focus resources on our Web 3.0 activation and digital identity solutions and services. Our current strategic focus is the development and commercialization of Tridentity, our Web 3.0 and blockchain-enabled platform launched in December 2023 whereby customers and merchants can transact in a transparent and secure way. As our flagship product, Tridentity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Southeast Asia with a strong focus on Africa and other high growth markets. In June 2025, we signed a definitive public-private partnership agreement with the government of the DRC as the exclusive provider of electronic Know Your Customer (“e-KYC”) services, delivering Web 3.0-based national digital identity.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Beyond Tridentity, our mission is to become the global leader in Web 3.0 activation, notably connecting businesses to a reliable and secure technological platform, with tailored and optimized customer experiences. We believe that Tridentity addresses a massive market opportunity today and provides us with an attractive runway for growth.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our strategic realignment to transition our business model, we reallocated resources away from our traditional business consulting and IT customization services to concentrate on the development and expansion of our Web 3.0 and blockchain-enabled platform, Tridentity. As a result, our revenue declined while operating expenses increased as we invested in long-term strategic initiatives. For the years ended December 31, 2025 and 2024, we generated revenue of approximately US$0.16 million and US$0.47 million, respectively. Revenue from IT customization and business consulting accounted for 80.7% and nil of our total revenue for the year ended December 31, 2025, respectively, and accounted for 72.5% and 24.1% of our total revenue for the year ended December 31, 2024, respectively. We incurred a net loss of approximately US$22.76 million and US$8.12 million for the years ended December 31, 2025 and 2024, respectively. While this transition has resulted in near-term revenue contraction, we believe this strategic shift positions the Company to capture growth opportunities in the emerging Web 3.0 and digital identity markets.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History and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June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the completion of the reorganization, Quality Zone Technologies Pte. Ltd. became a wholly-owned subsidiary of Trident Digital Tech Holdings Ltd and Trident Digital Tech Pte. Ltd. became a wholly-owned subsidiary of Quality Zone Technologies Pte. Ltd. We are a holding company and we conduct our business through our Singapore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27, 2025, Trident Digital Tech (DRC) Africa SAS was incorporated as a joint-stock company in the DRC, with Trident Digital Tech Pte. Ltd. holding 80% interest and Africa Digital SARL holding 20% interest. The entity was established to provide digital-identity solutions, biometric identification, secure data-management services and electronic verification systems.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15, 2025, TRIDENT ALISKA DIGITAL TECH GHANA LTD was incorporated as a private limited company in Ghana as a joint venture between Trident Digital Tech Pte. Ltd. and Aliska Business Advisory and Research Limited, with each party holding a 50% equity interest. The entity was established to engage in information communication technology, including software and application development, technology development services and technology-related investment and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Trident Digital Tech Holdings Ltd is the offshore holding company of our group and conducts business operations through wholly owned subsidiaries.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including our principal subsidiaries as of the date of this prospectus: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caps w:val="false"/>
          <w:smallCaps w:val="false"/>
          <w:bdr w:val="single" w:sz="12" w:space="1" w:color="000000"/>
        </w:rPr>
        <w:drawing>
          <wp:inline distT="0" distB="0" distL="0" distR="0">
            <wp:extent cx="5267325" cy="2562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67325" cy="2562225"/>
                    </a:xfrm>
                    <a:prstGeom prst="rect">
                      <a:avLst/>
                    </a:prstGeom>
                  </pic:spPr>
                </pic:pic>
              </a:graphicData>
            </a:graphic>
          </wp:inline>
        </w:drawing>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as amended, which is incorporated by reference in this prospectus, and which may be amended, supplemented or superseded from time to time by other reports we file with the SEC in the future.</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Reverse Share Split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7, 2026, the Company announced its plan to change the ratio of its ADS to Class B ordinary shares from the previous ratio of one (1) ADS to eight (8) Class B ordinary shares to a new ratio of one (1) ADS to two hundred and forty (240) Class B ordinary shares. Effective April 24, 2026, the Company effected a 1-for-30 reverse share split. On July 16, 2026, the Company terminated its American depositary receipt program. The Class B ordinary shares are now listed on the Nasdaq Capital Market under the symbol “TDTH.”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Change of Auditor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5, 2026, the audit committee of the board of directors dismissed Marcum Asia CPAs LLP as the Company’s independent registered public accounting firm and engaged HYYH CPA. LLC as the Company’s independent registered public accounting firm for the fiscal year ended December 31, 2025. The audit report of Marcum Asia CPAs LLP on the consolidated financial statements of the Company as of December 31, 2023 and 2024 and for the fiscal years ended December 31, 2023 and 2024 did not contain an adverse opinion or disclaimer of opinion and was not qualified or modified as to uncertainty, audit scope or accounting principles. During the fiscal years ended December 31, 2023 and 2024, there were no disagreements between the Company and Marcum Asia CPAs LLP on any matter of accounting principles or practices, financial statement disclosure, or auditing scope or procedure.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Nasdaq Compliance Matters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26, 2026, the Company received a notification letter from the Listing Qualifications Department of The Nasdaq Stock Market LLC (“Nasdaq”) indicating that, based upon the Company’s market value of listed securities (“MVLS”) for the 34 consecutive business day period from February 5, 2026 through March 20, 2026, the Company did not maintain the minimum MVLS of US$35,000,000 required for continued listing on the Nasdaq Capital Market pursuant to Nasdaq Listing Rule 5550(b)(2). The Company was afforded a period of 180 calendar days, or until September 22, 2026, in which to regain compliance.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28, 2026, the Company received a letter from Nasdaq notifying the Company that since its listed securities did not have a closing bid price of at least US$1.00 for a minimum of 10 consecutive business days during the 180 calendar days ended April 27, 2026, the Company had not regained compliance with Nasdaq Listing Rule 5550(a)(2). The Company was not eligible for a second 180-day compliance period. The Company timely requested a hearing before the Nasdaq Hearings Panel to present its plan for regaining compliance, which stayed the suspension of the Company’s securities pending the Hearings Panel’s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26, 2026, the Company received formal confirmation from Nasdaq stating that the Company had regained compliance with Nasdaq Listing Rule 5550(a)(2), the minimum bid price requirement for continued listing on the Nasdaq Capital Market. The hearing previously scheduled before the Nasdaq Hearings Panel for June 4, 2026 was cancelled, and Nasdaq confirmed that the Company’s securities will continue to remain listed and traded on The Nasdaq Stock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Extraordinary General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8, 2026, the Company held an extraordinary general meeting of shareholders (the “EGM”) at which the Company’s shareholders approved: (i) a share redesignation of 40,000,000 authorized but unissued Class A ordinary shares to 40,000,000 blank shares and 20,000,000 authorized but unissued Class C ordinary shares to 20,000,000 blank shares; (ii) an increase of the authorized share capital of the Company from US$50,000 to US$1,200,000, divided into 120,000,000,000 shares of par value of US$0.00001 each; (iii) a share consolidation of the issued and unissued ordinary shares on the basis that every 2,400 existing shares of par value of US$0.00001 each be consolidated into one share of par value of US$0.0024 each; (iv) the Third Amended and Restated Memorandum and Articles of Association of the Company; and (v) the Share Subscription Agreement in connection with the conversion of US$8,000,000 of outstanding debt owed by the Company to Mr. Soon Huat Lim, the founder, chairman of board of directors and chief executive officer of the Company, into 901,408,450 Class B ordinary shares at a conversion price of US$0.008875 per share.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 of Being a Foreign Private Issuer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 is located at Suntec Tower 3, 8 Temasek Boulevard Road, #24-03, Singapore, 038988. Our telephone number is +65 6513 6868.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 maintains an internet site that contains reports, proxy and information statements, and other information regarding issuers that file electronically with the SEC on www.sec.gov. You can also find information on our corporate website https://tridentity.me.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annual reports, which will include a review of operations and annual audited consolidated financial statements prepared in conformity with U.S. GAAP, and all notices of shareholders’ meeting and other reports and communications that are made generally available to our shareholders.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INCORPORATION OF DOCUMENTS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incorporate by reference the documents listed below: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w:t>
            </w:r>
            <w:hyperlink r:id="rId3">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December 31, 2025, along with all exhibits, including the description of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Reports on Form 6-K filed with the SEC on </w:t>
            </w:r>
            <w:hyperlink r:id="rId4">
              <w:r>
                <w:rPr>
                  <w:rStyle w:val="InternetLink"/>
                  <w:rFonts w:ascii="Times New Roman;Times;Serif" w:hAnsi="Times New Roman;Times;Serif"/>
                  <w:sz w:val="20"/>
                </w:rPr>
                <w:t>April 1,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April 7,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April 21,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May 1,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May 8,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May 27,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June 16,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June 17,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June 30, 2026</w:t>
              </w:r>
            </w:hyperlink>
            <w:r>
              <w:rPr>
                <w:rFonts w:ascii="Times New Roman;Times;Serif" w:hAnsi="Times New Roman;Times;Serif"/>
                <w:sz w:val="20"/>
              </w:rPr>
              <w:t xml:space="preserve"> and </w:t>
            </w:r>
            <w:hyperlink r:id="rId13">
              <w:r>
                <w:rPr>
                  <w:rStyle w:val="InternetLink"/>
                  <w:rFonts w:ascii="Times New Roman;Times;Serif" w:hAnsi="Times New Roman;Times;Serif"/>
                  <w:sz w:val="20"/>
                </w:rPr>
                <w:t>July 8, 2026</w:t>
              </w:r>
            </w:hyperlink>
            <w:r>
              <w:rPr>
                <w:rFonts w:ascii="Times New Roman;Times;Serif" w:hAnsi="Times New Roman;Times;Serif"/>
                <w:sz w:val="20"/>
              </w:rPr>
              <w:t>, along with all exhibit;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annual report for the fiscal year ended December 31, 2025 filed with the SEC on April 28, 2026 contains a description of our business and audited consolidated financial statements with reports by independent auditors. The consolidated financial statements are prepared and presented in accordance with U.S. GAAP.</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Suntec Tower 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Temasek Boulevard Road, #24-03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Singapore, 038988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a_004"/>
      <w:bookmarkEnd w:id="5"/>
      <w:r>
        <w:rPr>
          <w:rFonts w:ascii="Times New Roman;Times;Serif" w:hAnsi="Times New Roman;Times;Serif"/>
          <w:b/>
          <w:i w:val="false"/>
          <w:caps w:val="false"/>
          <w:smallCaps w:val="false"/>
          <w:sz w:val="20"/>
          <w:bdr w:val="single" w:sz="12" w:space="1" w:color="000000"/>
        </w:rPr>
        <w:t>SPECIAL NOTE REGARDING FORWARD-LOOKING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“Risk Factors,” “Business” and “Management’s Discussion and Analysis of Financial Condition and Results of Operations,” among others, discuss factors which could adversely impact our business and financial performance.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outlook of the digital solutions and e-commerce market in Singapore, Southeast Asia and globally;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expected changes in our revenue, costs or expenditures;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 in our industry ;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proposed use of proceeds;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government policies and regulations relating to our industry;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economic and business conditions in Singapore, Southeast Asia and globally.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and any prospectus supplement,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digital solutions and e-commerce market in Singapore, Southeast Asia and globally, projections or estimates about our business and financial prospects involve significant risks and uncertainties. You should not place undue reliance on these forward-looking statements.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as amended, which is incorporated by reference in this prospectus, and which may be amended, supplemented or superseded from time to time by other reports we file with the SEC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offer and sell from time to time, in one or more offerings, the following securities:</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170"/>
        <w:gridCol w:w="1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preferred shares;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debt securities;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rights;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terms and provisions of our Class B ordinary shares, preferred shares, debt securities, rights and units, which we may offer and sell using this prospectus. These summaries are not meant to be a complete description of each security. We will set forth in the applicable prospectus supplement a description of the preferred shares, debt securities, rights, and units, in certain cases, the Class B ordinary shares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which we refer to as the “Companies Act” in this section, and the common law of the Cayman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our Memorandum and Articles of Association (“M&amp;AA”).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(i) 208,333 Class A ordinary shares, and (ii) 4,510,523 Class B ordinary shares 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Class B Ordinary Shares and Class C Ordinary Shares shall at all times vote together as one class on all resolutions submitted to a vote by the Members. Each Class A Ordinary Share shall entitle the holder thereof to sixty (60) votes on all matters subject to vote at general meetings of the Company, each Class B Ordinary Share shall entitle the holder thereof to one (1) vote on all matters subject to vote at general meetings of the Company, and each Class C Ordinary Share shall entitle the holder thereof to one (1) vote on all matters subject to vote at general meetings of the Company, and the Company shall not proceed with any matter to be passed at general meetings of the Company without the written consent of the holders holding a majority of the issued and outstanding Class C Ordinary Shares or with the sanction of a Special Resolution passed at a separate meeting of the holders of the issued and outstanding Class C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or Class C Ordinary Share is convertible into one (1) Class B Ordinary Share at any time at the option of the holder thereof. The right to convert shall be exercisable by the holder of the Class A Ordinary Share or the Class C Ordinary Shares, as the case may be, delivering a written notice to the Company that such holder elects to convert a specified number of Class A Ordinary Shares or Class C Ordinary Shares, as the case may be, into Class B Ordinary Shares. Class B Ordinary Shares are not convertible into Class A Ordinary Shares or Class C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shares. Under our M&amp;AA, we may issue only non-negotiable shares and may not issue bearer or negotiable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provided that a dividend may not be paid if this would result in our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Classes of Ordinary Shares</w:t>
      </w:r>
      <w:r>
        <w:rPr>
          <w:rFonts w:ascii="Times New Roman;Times;Serif" w:hAnsi="Times New Roman;Times;Serif"/>
          <w:b w:val="false"/>
          <w:i w:val="false"/>
          <w:caps w:val="false"/>
          <w:smallCaps w:val="false"/>
          <w:sz w:val="20"/>
        </w:rPr>
        <w:t>. Our ordinary shares are divided into Class A ordinary shares, Class B ordinary shares and Class C ordinary shares. Except for conversion rights and voting rights, Class A Ordinary Shares, Class B Ordinary Shares and Class C Ordinary Shares shall rank pari passu with one another and shall have the same rights, preferences, privileges and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 of a simple majority of the votes cast by those shareholders entitled to vote who are present in person or by proxy at a general meeting (or if passed as a resolution in writing, the approval of two-thirds of our shareholders entitled to vote at a general meeting of our company), while a special resolution requires the affirmative vote of no less than two-thirds of the votes cast by those shareholders entitled to vote who are present in person or by proxy at a general meeting (or if passed as a written resolution, the approval of all of our shareholders entitled to vote at a general meeting of our company). A special resolution is required for important matters such as a change of name or any amendment to our M&amp;AA.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M&amp;AA, and cancelling any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 and Shareholder Proposals</w:t>
      </w:r>
      <w:r>
        <w:rPr>
          <w:rFonts w:ascii="Times New Roman;Times;Serif" w:hAnsi="Times New Roman;Times;Serif"/>
          <w:b w:val="false"/>
          <w:i w:val="false"/>
          <w:caps w:val="false"/>
          <w:smallCaps w:val="false"/>
          <w:sz w:val="20"/>
        </w:rPr>
        <w:t>. As a Cayman Islands exempted company, we are not obliged by the Companies Act to call shareholders’ annual general meetings. Our M&amp;AA provides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our shareholders may be convened by our board of directors. Advance notice of at least seven (7) calendar days is required for the convening of our annual general shareholders’ meeting and any other general meeting of our shareholders. A quorum required for a general meeting of shareholders consists of one or more shareholders present in person or by proxy or, if a corporation or other non-natural person, by its duly authorized representative, who hold shares which represent, in aggregate, not less than one-third of the votes attaching to all issued and outstanding shares of our company entitled to vote at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M&amp;AA allows any of our shareholders holding at least two-thirds of the aggregate number of votes attaching to all issued and outstanding shares of our company entitled to vote at general meetings, to requisition an extraordinary general meeting of the shareholders, in which case our directors are obliged to call such meeting and to put the resolutions so requisitioned to a vote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Subject to the restrictions of our M&amp;AA set out below, as applicable, any of our shareholders may transfer all or any of his or her Ordinary Shares by an instrument of transfer in writing and in such usual or common form or such other form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and without assigning any reason, refuse to register any transfer of any ordinary share which is not fully paid up or upon which our company has a lien. Our directors may also decline to register any transfer of any ordinary share unless (a) the instrument of transfer is lodged with us, accompanied by the certificate for the ordinary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ordinary share is to be transferred does not exceed four; or (e) a fee of such maximum sum as the Nasdaq may determine to be payable, or such lesser sum as our board of directors may from time to time require, is paid to us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 The registration of transfers may, on ten (10) days’ notice being given by advertisement in an appointed newspaper or any other newspapers or by any other means in accordance with the requirements of the Nasdaq to that effect, be suspended at such times and for such periods (not exceeding in the whole thirty (30) calendar days in any year) as our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a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of directors may from time to time make calls upon shareholders for any amounts unpaid on their shares in a notice served to such shareholders at least fourteen (14) days prior to the specified time and place of payment. The shares that have been called upon and remain unpaid on the specified time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Purchase and Surrender of Shares</w:t>
      </w:r>
      <w:r>
        <w:rPr>
          <w:rFonts w:ascii="Times New Roman;Times;Serif" w:hAnsi="Times New Roman;Times;Serif"/>
          <w:b w:val="false"/>
          <w:i w:val="false"/>
          <w:caps w:val="false"/>
          <w:smallCaps w:val="false"/>
          <w:sz w:val="20"/>
        </w:rPr>
        <w:t>. We may issue shares on terms that such shares are subject to redemption, at our option or at the option of the holders, on such terms and in such manner as our board of directors, before the issue of such shares, or our shareholders by special resolution may determine. We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If at any time, our share capital is divided into different classes of shares, the rights attached to any class of shares may be varied or abrogated either with the written consent of the holders of two-thirds of the issued shares of that class, or with the sanction of a special resolution passed at a general meeting of the holders of shares of that class. The rights conferred upon the holders of the shares of any class issued with preferred or other rights will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have no general right under Cayman Islands law to inspect or obtain copies of our list of shareholders or our corporate records (other than our memorandum and articles of association, any special resolutions of our shareholders, and our register of mortgages and charges). However, at the discretion of our board of directors, we intend to provide our shareholders with annual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Capital</w:t>
      </w:r>
      <w:r>
        <w:rPr>
          <w:rFonts w:ascii="Times New Roman;Times;Serif" w:hAnsi="Times New Roman;Times;Serif"/>
          <w:b w:val="false"/>
          <w:i w:val="false"/>
          <w:caps w:val="false"/>
          <w:smallCaps w:val="false"/>
          <w:sz w:val="20"/>
        </w:rPr>
        <w:t>. Our shareholders may from time to time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such sum, to be divided into shares of such classes and amount, as the resolution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a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existing shares, or any of them into shares of a smaller amount than that fixed by our memorandum;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Our M&amp;AA authorizes our board of directors to issue additional Ordinary Shares from time to time as our board of directors shall determine, to the extent there are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M&amp;AA authorizes our board of directors to establish from time to time one or more series of convertible redeemable preferred shares and to determine, with respect to any series of convertible redeemable preferred shares, the terms and rights of that series, including:</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70"/>
        <w:gridCol w:w="20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conversion rights and voting rights; and</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convertible redeemable preferred shares may be used as an anti-takeover device without further action on the part of the shareholders.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M&amp;AA may discourage, delay or prevent a change of control of our company or management that shareholders may consider favorable, including provisions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M&amp;AA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30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empowered to allot, issue, and dispose of shares (including, without limitation, preferred shares) (whether in certificated form or non-certificated form), to such persons, in such manner, on such terms and having such rights and being subject to such restrictions as they may from time to time determine. The Board may, without the approval of the shareholders, create and designate out of the unissued shares of the Company (including unissued Class B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Board may determine in their sole and absolute discretion.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prospectus relating to any series of preferred shares being offered for the specific terms of that series,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of the series and the number of shares in the series;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at which the preferred shares will be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voting rights, if any, of the holders of preferred shares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a sinking fund, if any, and the provisions for redemption, if applicable, of the preferred shares being offered, including any restrictions on the foregoing as a result of arrearage in the payment of dividends or sinking fund installments;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convertible into our ordinary shares, including the conversion price, or the manner of calculating the conversion price, and the conversion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exchangeable for debt securities, including the exchange price, or the manner of calculating the exchange price, and the exchange period;</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shares being offered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federal income tax considerations applicable to the preferred shares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170"/>
        <w:gridCol w:w="18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preemptive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shares being offered as to dividend rights and rights upon liquidation, dissolution or the winding up of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the issuance of any class or series of preferred shares ranking senior or equal to the series of preferred shares being offered as to dividend rights and rights upon liquidation, dissolution or the winding up of our affairs; and</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rights, preferences, qualifications, limitations and restrictions of the series.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preferred shares will be fully paid and nonassessable, which means that its holders will have paid their purchase price in full and we may not require them to pay additional funds.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shareholders. The rights of holders of our ordinary shares will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ind w:left="0" w:right="0" w:hanging="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dissentient minority shareholders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 (and is therefore incapable of ratification by the shareholders);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Cayman Islands law and our memorandum and articles of association provide that our shareholders may approve corporate matters by way of (i) in the case of ordinary resolutions, a written resolution signed by two-thirds of our shareholders entitled to receive notice of and to attend and vote at general meetings of our company, or (ii) in the case of special resolutions, a unanimous written resolution signed by all of our shareholders entitled to receive notice of and to attend and vote at general meetings of our company, without a meeting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Delaware General Corporation Law, a shareholder has the right to put any proposal before the annual meeting of shareholders;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that carry in aggregate not less than two-thirds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or by a written resolution signed by every director other than the director being removed.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Restructuring.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7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95" w:type="dxa"/>
            <w:tcBorders/>
            <w:vAlign w:val="center"/>
          </w:tcPr>
          <w:p>
            <w:pPr>
              <w:pStyle w:val="TableContents"/>
              <w:bidi w:val="0"/>
              <w:spacing w:before="0" w:after="283"/>
              <w:jc w:val="both"/>
              <w:rPr/>
            </w:pPr>
            <w:r>
              <w:rPr/>
              <w:t>is or is likely to become unable to pay its debts;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with the written consent of the holders of at least two-thirds of the issued shares of that class or with the sanction of a special resolution passed at a general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Amendment of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Rights of Non-resident or Foreign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Although we do not currently intend to issue any preferred shares, we cannot assure you that we will not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no issued and outstanding preferred shares of any series. The material terms of any series of preferred shares that we offer, together with any material U.S. federal income tax considerations relating to such preferred shares,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preferred shares are entitled to certain rights and subject to certain conditions as set forth in our currently effective memorandum and articles of association and the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title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price or prices (expressed as a percentage of the aggregate principal amount) at which we will sell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limit on the aggregate principal amount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date or dates on which we will repay the principal on the debt securities and the right, if any, to extend the maturity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place or places where the principal of, premium, and interest on the debt securities will be payable, and where the debt securities of the series that are convertible or exchangeable may be surrendered for conversion or exchange;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obligation or right we have to redeem the debt securities pursuant to any sinking fund or analogous provisions or at the option of holders of the debt securities or at our option, and the terms and conditions upon which we are obligated to or may redeem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obligation we have to repurchase the debt securities at the option of the holders of debt securities, the dates on which and the price or prices at which we will repurchase the debt securities and other detailed terms and provisions of these repurchase obligations;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denominations in which the debt securities will be issued;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whether the debt securities will be issued in the form of certificated debt securities or global debt securities;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portion of principal amount of the debt securities payable upon declaration of acceleration of the maturity date, if other than the principal amount;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currency of denomination of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designation of the currency, currencies or currency units in which payment of principal of, premium and interest on the debt securities will be made;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provisions relating to any security provided for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addition to or change in the events of default described in the indenture with respect to the debt securities and any change in the acceleration provisions described in the indenture with respect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addition to or change in the covenants described in the indenture with respect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whether the debt securities will be senior or subordinated and any applicable subordination provisions;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discussion of material income tax considerations applicable to the debt securities;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other terms of the debt securities, which may modify any provisions of the indenture as it applies to that series; and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depositaries, interest rate calculation agents, exchange rate calculation agents or other agents with respect to the debt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bl>
    <w:p>
      <w:pPr>
        <w:pStyle w:val="TextBody"/>
        <w:bidi w:val="0"/>
        <w:spacing w:before="0" w:after="0"/>
        <w:ind w:left="0" w:right="0" w:firstLine="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bl>
    <w:p>
      <w:pPr>
        <w:pStyle w:val="TextBody"/>
        <w:bidi w:val="0"/>
        <w:spacing w:before="0" w:after="0"/>
        <w:ind w:left="0" w:right="0" w:firstLine="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0" w:right="0" w:firstLine="72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0" w:right="0" w:firstLine="72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bl>
    <w:p>
      <w:pPr>
        <w:pStyle w:val="TextBody"/>
        <w:bidi w:val="0"/>
        <w:spacing w:before="0" w:after="0"/>
        <w:ind w:left="0" w:right="0" w:firstLine="72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Class B ordinary shares, preferred shares or debt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Additional Information” and “Incorporation of Certain Information by Reference” above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designation and terms of the units and of the securities comprising the units, including whether and under what circumstances those securities may be held or transferred separately;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any provisions for the issuance, payment, settlement, transfer, or exchange of the units or of the securities composing the units;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whether the units will be issued in fully registered or global form;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any other terms of the units.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Preferred Shares,” and “Description of Debt Securities”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offering;</w:t>
            </w:r>
          </w:p>
        </w:tc>
      </w:tr>
    </w:tbl>
    <w:p>
      <w:pPr>
        <w:pStyle w:val="TextBody"/>
        <w:bidi w:val="0"/>
        <w:spacing w:before="0" w:after="0"/>
        <w:ind w:left="0" w:right="0" w:firstLine="72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underwriters or agents;</w:t>
            </w:r>
          </w:p>
        </w:tc>
      </w:tr>
    </w:tbl>
    <w:p>
      <w:pPr>
        <w:pStyle w:val="TextBody"/>
        <w:bidi w:val="0"/>
        <w:spacing w:before="0" w:after="0"/>
        <w:ind w:left="0" w:right="0" w:firstLine="72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managing underwriter or underwriters;</w:t>
            </w:r>
          </w:p>
        </w:tc>
      </w:tr>
    </w:tbl>
    <w:p>
      <w:pPr>
        <w:pStyle w:val="TextBody"/>
        <w:bidi w:val="0"/>
        <w:spacing w:before="0" w:after="0"/>
        <w:ind w:left="0" w:right="0" w:firstLine="72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over-allotment options under which underwriters may purchase additional securities from us;</w:t>
            </w:r>
          </w:p>
        </w:tc>
      </w:tr>
    </w:tbl>
    <w:p>
      <w:pPr>
        <w:pStyle w:val="TextBody"/>
        <w:bidi w:val="0"/>
        <w:spacing w:before="0" w:after="0"/>
        <w:ind w:left="0" w:right="0" w:firstLine="72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from the sale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arrangements;</w:t>
            </w:r>
          </w:p>
        </w:tc>
      </w:tr>
    </w:tbl>
    <w:p>
      <w:pPr>
        <w:pStyle w:val="TextBody"/>
        <w:bidi w:val="0"/>
        <w:spacing w:before="0" w:after="0"/>
        <w:ind w:left="0" w:right="0" w:firstLine="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commissions and other items constituting underwriters’ compensation;</w:t>
            </w:r>
          </w:p>
        </w:tc>
      </w:tr>
    </w:tbl>
    <w:p>
      <w:pPr>
        <w:pStyle w:val="TextBody"/>
        <w:bidi w:val="0"/>
        <w:spacing w:before="0" w:after="0"/>
        <w:ind w:left="0" w:right="0" w:firstLine="72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initial public offering price;</w:t>
            </w:r>
          </w:p>
        </w:tc>
      </w:tr>
    </w:tbl>
    <w:p>
      <w:pPr>
        <w:pStyle w:val="TextBody"/>
        <w:bidi w:val="0"/>
        <w:spacing w:before="0" w:after="0"/>
        <w:ind w:left="0" w:right="0" w:firstLine="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bl>
    <w:p>
      <w:pPr>
        <w:pStyle w:val="TextBody"/>
        <w:bidi w:val="0"/>
        <w:spacing w:before="0" w:after="0"/>
        <w:ind w:left="0" w:right="0" w:firstLine="72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commissions paid to agents; and</w:t>
            </w:r>
          </w:p>
        </w:tc>
      </w:tr>
    </w:tbl>
    <w:p>
      <w:pPr>
        <w:pStyle w:val="TextBody"/>
        <w:bidi w:val="0"/>
        <w:spacing w:before="0" w:after="0"/>
        <w:ind w:left="0" w:right="0" w:firstLine="72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Class B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70"/>
        <w:gridCol w:w="1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Cayman Islands’ legal counsel, there is uncertainty with regard to Cayman Islands law relating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counsel further advised that although there is no statutory enforcement in the Cayman Islands of judgments obtained in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provided such judgment (1) is given by a foreign court of competent jurisdiction, (2) imposes on the judgment debtor a liability to pay a liquidated sum for which the judgment has been given, (3) is final, (4) is not in respect of taxes, a fine or a penalty, and (5) was not obtained in a manner and is of a kind the enforcement of which is contrary to natural justice or the public policy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Class B ordinary shares offered in this offering will be passed upon for us by Maples and Calder (Hong Kong) LLP. Loeb &amp; Loeb LLP may rely upon Maples and Calder (Hong Kong) LLP with respect to matters governed by Cayman Islands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2025 and for the year then ended incorporated by reference in this prospectus have been audited by HYYH CPA. LLC, an independent registered public accounting firm. Such financial statements are included in reliance upon the report of such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December 31, 2024 and for each of the two years in the period ended December 31, 2024 incorporated by reference in this prospectus have been audited by Marcum Asia CPAs LLP, an independent registered public accounting firm. Such financial statements are included in reliance upon the report of such firm given upon their authority as experts in accounting and auditing.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WHERE YOU CAN FIND MORE INFORMATION ABOUT 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also find information on our website https://tridentity.me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information contained on our website is not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entered into in connection with an offering of securities will also provide for indemnification of us and our officers and directors in certain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provisions described in Item 8,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both"/>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file a post-effective amendment to the registration statement to include any financial statements required by Item 8.A of Form 20-F at the start of any delayed offering or throughout a continuous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both"/>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245"/>
        <w:gridCol w:w="884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15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Preferred Shares Certificate**</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 with respect to senior debt securities, to be entered into between registrant and a trustee acceptable to the registrant, if any.**</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 with respect to subordinated debt securities, to be entered into between registrant and a trustee acceptable to the registrant, if any.**</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 if any**</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Form of Share Subscription Agreement, incorporated herein by reference to Exhibit 99.4 to Form 6-K, dated June 30, 2026</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30132001ex5-1.htm">
              <w:r>
                <w:rPr>
                  <w:rStyle w:val="InternetLink"/>
                  <w:rFonts w:ascii="Times New Roman;Times;Serif" w:hAnsi="Times New Roman;Times;Serif"/>
                  <w:sz w:val="20"/>
                </w:rPr>
                <w:t>Opinion of Maples and Calder (Hong Kong) LLP*</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132001ex23-1.htm">
              <w:r>
                <w:rPr>
                  <w:rStyle w:val="InternetLink"/>
                  <w:rFonts w:ascii="Times New Roman;Times;Serif" w:hAnsi="Times New Roman;Times;Serif"/>
                  <w:sz w:val="20"/>
                </w:rPr>
                <w:t>Consent of HYYH CPA. LLC *</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30132001ex23-2.htm">
              <w:r>
                <w:rPr>
                  <w:rStyle w:val="InternetLink"/>
                  <w:rFonts w:ascii="Times New Roman;Times;Serif" w:hAnsi="Times New Roman;Times;Serif"/>
                  <w:sz w:val="20"/>
                </w:rPr>
                <w:t>Consent of Marcum Asia CPAs LLP *</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132001ex5-1.htm">
              <w:r>
                <w:rPr>
                  <w:rStyle w:val="InternetLink"/>
                  <w:rFonts w:ascii="Times New Roman;Times;Serif" w:hAnsi="Times New Roman;Times;Serif"/>
                  <w:sz w:val="20"/>
                </w:rPr>
                <w:t>Consent of Maples and Calder (Hong Kong) LLP (included in Exhibit 5.1)*</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a_025">
              <w:r>
                <w:rPr>
                  <w:rStyle w:val="InternetLink"/>
                  <w:rFonts w:ascii="Times New Roman;Times;Serif" w:hAnsi="Times New Roman;Times;Serif"/>
                  <w:sz w:val="20"/>
                </w:rPr>
                <w:t>Power of Attorney (included on signature page of this registration statement)</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1320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be filed by amendments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Singapore, on August 11, 2026.</w:t>
      </w:r>
    </w:p>
    <w:p>
      <w:pPr>
        <w:pStyle w:val="TextBody"/>
        <w:bidi w:val="0"/>
        <w:spacing w:before="0" w:after="0"/>
        <w:ind w:left="0" w:right="0" w:hanging="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75"/>
        <w:gridCol w:w="320"/>
        <w:gridCol w:w="635"/>
        <w:gridCol w:w="3140"/>
      </w:tblGrid>
      <w:tr>
        <w:trPr/>
        <w:tc>
          <w:tcPr>
            <w:tcW w:w="75" w:type="dxa"/>
            <w:tcBorders/>
            <w:vAlign w:val="center"/>
          </w:tcPr>
          <w:p>
            <w:pPr>
              <w:pStyle w:val="TableContents"/>
              <w:bidi w:val="0"/>
              <w:spacing w:before="0" w:after="283"/>
              <w:jc w:val="left"/>
              <w:rPr/>
            </w:pPr>
            <w:r>
              <w:rPr/>
              <w:t> </w:t>
            </w:r>
          </w:p>
        </w:tc>
        <w:tc>
          <w:tcPr>
            <w:tcW w:w="40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Trident Digital Tech Holdings Ltd</w:t>
            </w:r>
          </w:p>
        </w:tc>
      </w:tr>
      <w:tr>
        <w:trPr/>
        <w:tc>
          <w:tcPr>
            <w:tcW w:w="75" w:type="dxa"/>
            <w:tcBorders/>
            <w:vAlign w:val="center"/>
          </w:tcPr>
          <w:p>
            <w:pPr>
              <w:pStyle w:val="TableContents"/>
              <w:bidi w:val="0"/>
              <w:spacing w:before="0" w:after="283"/>
              <w:jc w:val="left"/>
              <w:rPr/>
            </w:pPr>
            <w:r>
              <w:rPr/>
              <w:t> </w:t>
            </w:r>
          </w:p>
        </w:tc>
        <w:tc>
          <w:tcPr>
            <w:tcW w:w="40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75" w:type="dxa"/>
            <w:gridSpan w:val="2"/>
            <w:tcBorders>
              <w:bottom w:val="single" w:sz="12" w:space="0" w:color="000000"/>
            </w:tcBorders>
            <w:tcMar>
              <w:bottom w:w="28" w:type="dxa"/>
            </w:tcMar>
            <w:vAlign w:val="center"/>
          </w:tcPr>
          <w:p>
            <w:pPr>
              <w:pStyle w:val="TableContents"/>
              <w:bidi w:val="0"/>
              <w:spacing w:before="0" w:after="283"/>
              <w:jc w:val="left"/>
              <w:rPr/>
            </w:pPr>
            <w:r>
              <w:rPr/>
              <w:t>/s/ Soon Huat Lim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sz w:val="20"/>
              </w:rPr>
            </w:pPr>
            <w:r>
              <w:rPr>
                <w:sz w:val="20"/>
              </w:rPr>
              <w:t>Chairman and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25"/>
      <w:bookmarkEnd w:id="20"/>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Soon Huat Lim and Haiyan Huang, and each of them, individually, his or her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U.S. Securities Act of 1933, as amended, this Form F-3 registration statement has been signed by the following persons in the capacities and on the date indicated.</w:t>
      </w:r>
    </w:p>
    <w:p>
      <w:pPr>
        <w:pStyle w:val="TextBody"/>
        <w:bidi w:val="0"/>
        <w:spacing w:before="0" w:after="0"/>
        <w:ind w:left="0" w:right="0" w:firstLine="720"/>
        <w:jc w:val="both"/>
        <w:rPr>
          <w:caps w:val="false"/>
          <w:smallCaps w:val="false"/>
        </w:rPr>
      </w:pPr>
      <w:r>
        <w:rPr>
          <w:caps w:val="false"/>
          <w:smallCaps w:val="false"/>
        </w:rPr>
        <w:t> </w:t>
      </w:r>
    </w:p>
    <w:tbl>
      <w:tblPr>
        <w:tblW w:w="7185" w:type="dxa"/>
        <w:jc w:val="left"/>
        <w:tblInd w:w="0" w:type="dxa"/>
        <w:tblLayout w:type="fixed"/>
        <w:tblCellMar>
          <w:top w:w="0" w:type="dxa"/>
          <w:left w:w="0" w:type="dxa"/>
          <w:bottom w:w="28" w:type="dxa"/>
          <w:right w:w="0" w:type="dxa"/>
        </w:tblCellMar>
      </w:tblPr>
      <w:tblGrid>
        <w:gridCol w:w="1700"/>
        <w:gridCol w:w="60"/>
        <w:gridCol w:w="3890"/>
        <w:gridCol w:w="60"/>
        <w:gridCol w:w="147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Name</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center"/>
              <w:rPr/>
            </w:pPr>
            <w:r>
              <w:rPr/>
              <w:t> </w:t>
            </w:r>
          </w:p>
        </w:tc>
        <w:tc>
          <w:tcPr>
            <w:tcW w:w="38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Position</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w:t>
            </w:r>
          </w:p>
        </w:tc>
      </w:tr>
      <w:tr>
        <w:trPr/>
        <w:tc>
          <w:tcPr>
            <w:tcW w:w="1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Soon Huat Lim</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Founder, Chairman and Chief Executive Officer</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  </w:t>
            </w:r>
          </w:p>
        </w:tc>
      </w:tr>
      <w:tr>
        <w:trPr/>
        <w:tc>
          <w:tcPr>
            <w:tcW w:w="17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Soon Huat Lim</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Haiyan Huang</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  </w:t>
            </w:r>
          </w:p>
        </w:tc>
      </w:tr>
      <w:tr>
        <w:trPr/>
        <w:tc>
          <w:tcPr>
            <w:tcW w:w="17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Haiyan Huang</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Poh Kiong Tan</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Chief Technology Officer and Director </w:t>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  </w:t>
            </w:r>
          </w:p>
        </w:tc>
      </w:tr>
      <w:tr>
        <w:trPr/>
        <w:tc>
          <w:tcPr>
            <w:tcW w:w="17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Poh Kiong Tan</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How Teck Lim</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  </w:t>
            </w:r>
          </w:p>
        </w:tc>
      </w:tr>
      <w:tr>
        <w:trPr/>
        <w:tc>
          <w:tcPr>
            <w:tcW w:w="17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 Teck Lim</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Noi Keng Koh</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  </w:t>
            </w:r>
          </w:p>
        </w:tc>
      </w:tr>
      <w:tr>
        <w:trPr/>
        <w:tc>
          <w:tcPr>
            <w:tcW w:w="17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Noi Keng Koh</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Chwee Koh Chua</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  </w:t>
            </w:r>
          </w:p>
        </w:tc>
      </w:tr>
      <w:tr>
        <w:trPr/>
        <w:tc>
          <w:tcPr>
            <w:tcW w:w="17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Chwee Koh Chua</w:t>
            </w:r>
          </w:p>
        </w:tc>
        <w:tc>
          <w:tcPr>
            <w:tcW w:w="60" w:type="dxa"/>
            <w:tcBorders/>
            <w:tcMar>
              <w:bottom w:w="0" w:type="dxa"/>
            </w:tcMar>
            <w:vAlign w:val="center"/>
          </w:tcPr>
          <w:p>
            <w:pPr>
              <w:pStyle w:val="TableContents"/>
              <w:bidi w:val="0"/>
              <w:spacing w:before="0" w:after="283"/>
              <w:jc w:val="both"/>
              <w:rPr/>
            </w:pPr>
            <w:r>
              <w:rPr/>
              <w:t> </w:t>
            </w:r>
          </w:p>
        </w:tc>
        <w:tc>
          <w:tcPr>
            <w:tcW w:w="38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both"/>
              <w:rPr/>
            </w:pPr>
            <w:r>
              <w:rPr/>
              <w:t> </w:t>
            </w:r>
          </w:p>
        </w:tc>
        <w:tc>
          <w:tcPr>
            <w:tcW w:w="147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has signed this registration statement thereto in New York, United States on August 11, 2026.</w:t>
      </w:r>
    </w:p>
    <w:p>
      <w:pPr>
        <w:pStyle w:val="TextBody"/>
        <w:bidi w:val="0"/>
        <w:spacing w:before="0" w:after="0"/>
        <w:ind w:left="0" w:right="0" w:firstLine="72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710"/>
        <w:gridCol w:w="2255"/>
      </w:tblGrid>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By:</w:t>
            </w:r>
          </w:p>
        </w:tc>
        <w:tc>
          <w:tcPr>
            <w:tcW w:w="2255" w:type="dxa"/>
            <w:tcBorders>
              <w:bottom w:val="single" w:sz="12" w:space="0" w:color="000000"/>
            </w:tcBorders>
            <w:tcMar>
              <w:bottom w:w="28" w:type="dxa"/>
            </w:tcMar>
            <w:vAlign w:val="center"/>
          </w:tcPr>
          <w:p>
            <w:pPr>
              <w:pStyle w:val="TableContents"/>
              <w:bidi w:val="0"/>
              <w:spacing w:before="0" w:after="283"/>
              <w:jc w:val="both"/>
              <w:rPr/>
            </w:pPr>
            <w:r>
              <w:rPr/>
              <w:t>/s/ Colleen A. De Vries</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Name: </w:t>
            </w:r>
          </w:p>
        </w:tc>
        <w:tc>
          <w:tcPr>
            <w:tcW w:w="2255" w:type="dxa"/>
            <w:tcBorders/>
            <w:vAlign w:val="center"/>
          </w:tcPr>
          <w:p>
            <w:pPr>
              <w:pStyle w:val="TableContents"/>
              <w:bidi w:val="0"/>
              <w:spacing w:before="0" w:after="283"/>
              <w:jc w:val="both"/>
              <w:rPr/>
            </w:pPr>
            <w:r>
              <w:rPr/>
              <w:t>Colleen A. De Vries</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255" w:type="dxa"/>
            <w:tcBorders/>
            <w:vAlign w:val="center"/>
          </w:tcPr>
          <w:p>
            <w:pPr>
              <w:pStyle w:val="TableContents"/>
              <w:bidi w:val="0"/>
              <w:spacing w:before="0" w:after="283"/>
              <w:jc w:val="left"/>
              <w:rPr/>
            </w:pPr>
            <w:r>
              <w:rPr/>
              <w:t>Senior Vice President</w:t>
              <w:br/>
              <w:t>Cogency Global Inc.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 w:right="0" w:hanging="0"/>
        <w:jc w:val="right"/>
        <w:rPr>
          <w:rFonts w:ascii="Times New Roman;Times;Serif" w:hAnsi="Times New Roman;Times;Serif"/>
          <w:b/>
          <w:i w:val="false"/>
          <w:caps w:val="false"/>
          <w:smallCaps w:val="false"/>
          <w:sz w:val="20"/>
        </w:rPr>
      </w:pPr>
      <w:bookmarkStart w:id="21" w:name="ea030132001ex5-1.htm"/>
      <w:bookmarkStart w:id="22" w:name="ksea030132001ex51"/>
      <w:bookmarkEnd w:id="21"/>
      <w:bookmarkEnd w:id="22"/>
      <w:r>
        <w:rPr>
          <w:rFonts w:ascii="Times New Roman;Times;Serif" w:hAnsi="Times New Roman;Times;Serif"/>
          <w:b/>
          <w:i w:val="false"/>
          <w:caps w:val="false"/>
          <w:smallCaps w:val="false"/>
          <w:sz w:val="20"/>
        </w:rPr>
        <w:t>Exhibit 5.1</w:t>
      </w:r>
      <w:r>
        <w:br w:type="page"/>
      </w:r>
    </w:p>
    <w:p>
      <w:pPr>
        <w:pStyle w:val="TextBody"/>
        <w:bidi w:val="0"/>
        <w:spacing w:before="0" w:after="0"/>
        <w:ind w:left="84" w:right="0" w:hanging="0"/>
        <w:jc w:val="left"/>
        <w:rPr>
          <w:caps w:val="false"/>
          <w:smallCaps w:val="false"/>
        </w:rPr>
      </w:pPr>
      <w:r>
        <w:rPr>
          <w:caps w:val="false"/>
          <w:smallCaps w:val="false"/>
        </w:rPr>
        <w:t> </w:t>
      </w:r>
    </w:p>
    <w:p>
      <w:pPr>
        <w:pStyle w:val="TextBody"/>
        <w:bidi w:val="0"/>
        <w:spacing w:before="0" w:after="0"/>
        <w:ind w:left="84" w:right="0" w:hanging="0"/>
        <w:jc w:val="left"/>
        <w:rPr>
          <w:caps w:val="false"/>
          <w:smallCaps w:val="false"/>
        </w:rPr>
      </w:pPr>
      <w:r>
        <w:rPr>
          <w:caps w:val="false"/>
          <w:smallCaps w:val="false"/>
        </w:rPr>
        <w:drawing>
          <wp:inline distT="0" distB="0" distL="0" distR="0">
            <wp:extent cx="866775"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866775" cy="809625"/>
                    </a:xfrm>
                    <a:prstGeom prst="rect">
                      <a:avLst/>
                    </a:prstGeom>
                  </pic:spPr>
                </pic:pic>
              </a:graphicData>
            </a:graphic>
          </wp:inline>
        </w:drawing>
      </w:r>
    </w:p>
    <w:p>
      <w:pPr>
        <w:pStyle w:val="TextBody"/>
        <w:bidi w:val="0"/>
        <w:spacing w:before="0" w:after="0"/>
        <w:ind w:left="84"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800"/>
        <w:gridCol w:w="3380"/>
      </w:tblGrid>
      <w:tr>
        <w:trPr/>
        <w:tc>
          <w:tcPr>
            <w:tcW w:w="800" w:type="dxa"/>
            <w:tcBorders/>
            <w:vAlign w:val="center"/>
          </w:tcPr>
          <w:p>
            <w:pPr>
              <w:pStyle w:val="TableContents"/>
              <w:bidi w:val="0"/>
              <w:spacing w:before="0" w:after="283"/>
              <w:jc w:val="left"/>
              <w:rPr>
                <w:b/>
              </w:rPr>
            </w:pPr>
            <w:r>
              <w:rPr>
                <w:b/>
              </w:rPr>
              <w:t>Our ref</w:t>
            </w:r>
          </w:p>
        </w:tc>
        <w:tc>
          <w:tcPr>
            <w:tcW w:w="3380" w:type="dxa"/>
            <w:tcBorders/>
            <w:vAlign w:val="center"/>
          </w:tcPr>
          <w:p>
            <w:pPr>
              <w:pStyle w:val="TableContents"/>
              <w:bidi w:val="0"/>
              <w:spacing w:before="0" w:after="283"/>
              <w:jc w:val="both"/>
              <w:rPr/>
            </w:pPr>
            <w:r>
              <w:rPr/>
              <w:t>YRB/821544-000003/87197431v2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Trident Digital Tech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U.S. Securities Act of 1933, as amended to date relating to securities to be issued and sold by the Company from time to time of an aggregate offering price of up to US$200,000,000. Such securities include:</w:t>
      </w:r>
    </w:p>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0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8855" w:type="dxa"/>
            <w:tcBorders/>
            <w:vAlign w:val="center"/>
          </w:tcPr>
          <w:p>
            <w:pPr>
              <w:pStyle w:val="TableContents"/>
              <w:bidi w:val="0"/>
              <w:spacing w:before="0" w:after="283"/>
              <w:jc w:val="both"/>
              <w:rPr/>
            </w:pPr>
            <w:r>
              <w:rPr/>
              <w:t>Class B ordinary shares of the Company with a par value of US$0.0024 each (the “</w:t>
            </w:r>
            <w:r>
              <w:rPr>
                <w:rFonts w:ascii="Times New Roman;Times;Serif" w:hAnsi="Times New Roman;Times;Serif"/>
                <w:b/>
              </w:rPr>
              <w:t>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21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certain preferred shares of the Company with a par value of US$0.0024 each (the “</w:t>
            </w:r>
            <w:r>
              <w:rPr>
                <w:rFonts w:ascii="Times New Roman;Times;Serif" w:hAnsi="Times New Roman;Times;Serif"/>
                <w:b/>
              </w:rPr>
              <w:t>Preferred 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c)</w:t>
            </w:r>
          </w:p>
        </w:tc>
        <w:tc>
          <w:tcPr>
            <w:tcW w:w="10021" w:type="dxa"/>
            <w:tcBorders/>
            <w:vAlign w:val="center"/>
          </w:tcPr>
          <w:p>
            <w:pPr>
              <w:pStyle w:val="TableContents"/>
              <w:bidi w:val="0"/>
              <w:spacing w:before="0" w:after="283"/>
              <w:jc w:val="both"/>
              <w:rPr/>
            </w:pPr>
            <w:r>
              <w:rPr/>
              <w:t>certain debt securities of the Company, which may include debt securities exchangeable for or convertible into ordinary shares or preferred shares (collectively the “</w:t>
            </w:r>
            <w:r>
              <w:rPr>
                <w:rFonts w:ascii="Times New Roman;Times;Serif" w:hAnsi="Times New Roman;Times;Serif"/>
                <w:b/>
              </w:rPr>
              <w:t>Debt Securities</w:t>
            </w:r>
            <w:r>
              <w:rPr/>
              <w:t>”), each series of Debt Securities to be issued under indentures to be entered into by the Company and the trustee for such Debt Securities (the “</w:t>
            </w:r>
            <w:r>
              <w:rPr>
                <w:rFonts w:ascii="Times New Roman;Times;Serif" w:hAnsi="Times New Roman;Times;Serif"/>
                <w:b/>
              </w:rPr>
              <w:t>Indentures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d)</w:t>
            </w:r>
          </w:p>
        </w:tc>
        <w:tc>
          <w:tcPr>
            <w:tcW w:w="10003" w:type="dxa"/>
            <w:tcBorders/>
            <w:vAlign w:val="center"/>
          </w:tcPr>
          <w:p>
            <w:pPr>
              <w:pStyle w:val="TableContents"/>
              <w:bidi w:val="0"/>
              <w:spacing w:before="0" w:after="283"/>
              <w:jc w:val="both"/>
              <w:rPr/>
            </w:pPr>
            <w:r>
              <w:rPr/>
              <w:t>subscription rights to purchase securities of the Company (the “</w:t>
            </w:r>
            <w:r>
              <w:rPr>
                <w:rFonts w:ascii="Times New Roman;Times;Serif" w:hAnsi="Times New Roman;Times;Serif"/>
                <w:b/>
              </w:rPr>
              <w:t>Subscription Rights</w:t>
            </w:r>
            <w:r>
              <w:rPr/>
              <w:t>”) to be issued under standby underwriting agreements to be entered into among the Company and one or more underwriters for such Subscription Rights thereunder (the “</w:t>
            </w:r>
            <w:r>
              <w:rPr>
                <w:rFonts w:ascii="Times New Roman;Times;Serif" w:hAnsi="Times New Roman;Times;Serif"/>
                <w:b/>
              </w:rPr>
              <w:t>Subscription Rights Agreements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e)</w:t>
            </w:r>
          </w:p>
        </w:tc>
        <w:tc>
          <w:tcPr>
            <w:tcW w:w="10017" w:type="dxa"/>
            <w:tcBorders/>
            <w:vAlign w:val="center"/>
          </w:tcPr>
          <w:p>
            <w:pPr>
              <w:pStyle w:val="TableContents"/>
              <w:bidi w:val="0"/>
              <w:spacing w:before="0" w:after="283"/>
              <w:jc w:val="both"/>
              <w:rPr/>
            </w:pPr>
            <w:r>
              <w:rPr/>
              <w:t>units comprising of one or more of the Class B Ordinary Shares, Preferred Shares or Debt Securities in any combination (the “</w:t>
            </w:r>
            <w:r>
              <w:rPr>
                <w:rFonts w:ascii="Times New Roman;Times;Serif" w:hAnsi="Times New Roman;Times;Serif"/>
                <w:b/>
              </w:rPr>
              <w:t>Units</w:t>
            </w:r>
            <w:r>
              <w:rPr/>
              <w:t>”) to be issued under unit agreements to be entered into between the Company and the unitholder for such Units thereunder (the “</w:t>
            </w:r>
            <w:r>
              <w:rPr>
                <w:rFonts w:ascii="Times New Roman;Times;Serif" w:hAnsi="Times New Roman;Times;Serif"/>
                <w:b/>
              </w:rPr>
              <w:t>Unit Agreements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6362700" cy="1781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6362700" cy="1781175"/>
                    </a:xfrm>
                    <a:prstGeom prst="rect">
                      <a:avLst/>
                    </a:prstGeom>
                  </pic:spPr>
                </pic:pic>
              </a:graphicData>
            </a:graphic>
          </wp:inline>
        </w:drawing>
      </w: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23.3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40"/>
        <w:gridCol w:w="2135"/>
      </w:tblGrid>
      <w:tr>
        <w:trPr/>
        <w:tc>
          <w:tcPr>
            <w:tcW w:w="140" w:type="dxa"/>
            <w:tcBorders/>
            <w:vAlign w:val="center"/>
          </w:tcPr>
          <w:p>
            <w:pPr>
              <w:pStyle w:val="TableContents"/>
              <w:bidi w:val="0"/>
              <w:spacing w:before="0" w:after="283"/>
              <w:jc w:val="left"/>
              <w:rPr>
                <w:sz w:val="20"/>
              </w:rPr>
            </w:pPr>
            <w:r>
              <w:rPr>
                <w:sz w:val="20"/>
              </w:rPr>
              <w:t>1</w:t>
            </w:r>
          </w:p>
        </w:tc>
        <w:tc>
          <w:tcPr>
            <w:tcW w:w="2135" w:type="dxa"/>
            <w:tcBorders/>
            <w:vAlign w:val="center"/>
          </w:tcPr>
          <w:p>
            <w:pPr>
              <w:pStyle w:val="TableContents"/>
              <w:bidi w:val="0"/>
              <w:spacing w:before="0" w:after="283"/>
              <w:jc w:val="left"/>
              <w:rPr/>
            </w:pPr>
            <w:r>
              <w:rPr/>
              <w:t>Documents Reviewed</w:t>
            </w:r>
          </w:p>
        </w:tc>
      </w:tr>
    </w:tbl>
    <w:p>
      <w:pPr>
        <w:pStyle w:val="TextBody"/>
        <w:bidi w:val="0"/>
        <w:spacing w:before="0" w:after="0"/>
        <w:ind w:left="7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The certificate of incorporation dated 12 June 2023 issued by the Registrar of Companies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1.2</w:t>
            </w:r>
          </w:p>
        </w:tc>
        <w:tc>
          <w:tcPr>
            <w:tcW w:w="9870" w:type="dxa"/>
            <w:tcBorders/>
            <w:vAlign w:val="center"/>
          </w:tcPr>
          <w:p>
            <w:pPr>
              <w:pStyle w:val="TableContents"/>
              <w:bidi w:val="0"/>
              <w:spacing w:before="0" w:after="283"/>
              <w:jc w:val="both"/>
              <w:rPr/>
            </w:pPr>
            <w:r>
              <w:rPr/>
              <w:t>The third amended and restated memorandum and articles of association of the Company adopted by a special resolution passed on 8 July 2026 and effective on 16 July 2026 (the “</w:t>
            </w:r>
            <w:r>
              <w:rPr>
                <w:rFonts w:ascii="Times New Roman;Times;Serif" w:hAnsi="Times New Roman;Times;Serif"/>
                <w:b/>
              </w:rPr>
              <w:t>Memorandum and Articles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1.3</w:t>
            </w:r>
          </w:p>
        </w:tc>
        <w:tc>
          <w:tcPr>
            <w:tcW w:w="9870" w:type="dxa"/>
            <w:tcBorders/>
            <w:vAlign w:val="center"/>
          </w:tcPr>
          <w:p>
            <w:pPr>
              <w:pStyle w:val="TableContents"/>
              <w:bidi w:val="0"/>
              <w:spacing w:before="0" w:after="283"/>
              <w:jc w:val="both"/>
              <w:rPr/>
            </w:pPr>
            <w:r>
              <w:rPr/>
              <w:t>The written resolutions of the board of directors of the Company dated 10 August 2026 (the “</w:t>
            </w:r>
            <w:r>
              <w:rPr>
                <w:rFonts w:ascii="Times New Roman;Times;Serif" w:hAnsi="Times New Roman;Times;Serif"/>
                <w:b/>
              </w:rPr>
              <w:t>Board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1.4</w:t>
            </w:r>
          </w:p>
        </w:tc>
        <w:tc>
          <w:tcPr>
            <w:tcW w:w="9870" w:type="dxa"/>
            <w:tcBorders/>
            <w:vAlign w:val="center"/>
          </w:tcPr>
          <w:p>
            <w:pPr>
              <w:pStyle w:val="TableContents"/>
              <w:bidi w:val="0"/>
              <w:spacing w:before="0" w:after="283"/>
              <w:jc w:val="both"/>
              <w:rPr/>
            </w:pPr>
            <w:r>
              <w:rPr/>
              <w:t>A certificate of good standing dated 5 August 2026, issued by the Registrar of Companies in the Cayman Islands (the “</w:t>
            </w:r>
            <w:r>
              <w:rPr>
                <w:rFonts w:ascii="Times New Roman;Times;Serif" w:hAnsi="Times New Roman;Times;Serif"/>
                <w:b/>
              </w:rPr>
              <w:t>Certificate of Good Standing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1.5</w:t>
            </w:r>
          </w:p>
        </w:tc>
        <w:tc>
          <w:tcPr>
            <w:tcW w:w="9870" w:type="dxa"/>
            <w:tcBorders/>
            <w:vAlign w:val="center"/>
          </w:tcPr>
          <w:p>
            <w:pPr>
              <w:pStyle w:val="TableContents"/>
              <w:bidi w:val="0"/>
              <w:spacing w:before="0" w:after="283"/>
              <w:jc w:val="both"/>
              <w:rPr/>
            </w:pPr>
            <w:r>
              <w:rPr/>
              <w:t>A certificate from a director of the Company, a copy of which is attached hereto (the “</w:t>
            </w:r>
            <w:r>
              <w:rPr>
                <w:rFonts w:ascii="Times New Roman;Times;Serif" w:hAnsi="Times New Roman;Times;Serif"/>
                <w:b/>
              </w:rPr>
              <w:t>Director</w:t>
            </w:r>
            <w:r>
              <w:rPr/>
              <w:t>’</w:t>
            </w:r>
            <w:r>
              <w:rPr>
                <w:rFonts w:ascii="Times New Roman;Times;Serif" w:hAnsi="Times New Roman;Times;Serif"/>
                <w:b/>
              </w:rPr>
              <w:t>s Certificate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335"/>
        <w:gridCol w:w="2660"/>
      </w:tblGrid>
      <w:tr>
        <w:trPr/>
        <w:tc>
          <w:tcPr>
            <w:tcW w:w="335" w:type="dxa"/>
            <w:tcBorders/>
            <w:vAlign w:val="center"/>
          </w:tcPr>
          <w:p>
            <w:pPr>
              <w:pStyle w:val="TableContents"/>
              <w:bidi w:val="0"/>
              <w:spacing w:before="0" w:after="283"/>
              <w:jc w:val="left"/>
              <w:rPr/>
            </w:pPr>
            <w:r>
              <w:rPr/>
              <w:t>1.6</w:t>
            </w:r>
          </w:p>
        </w:tc>
        <w:tc>
          <w:tcPr>
            <w:tcW w:w="2660" w:type="dxa"/>
            <w:tcBorders/>
            <w:vAlign w:val="center"/>
          </w:tcPr>
          <w:p>
            <w:pPr>
              <w:pStyle w:val="TableContents"/>
              <w:bidi w:val="0"/>
              <w:spacing w:before="0" w:after="283"/>
              <w:jc w:val="left"/>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3"/>
        <w:gridCol w:w="9092"/>
      </w:tblGrid>
      <w:tr>
        <w:trPr/>
        <w:tc>
          <w:tcPr>
            <w:tcW w:w="1113" w:type="dxa"/>
            <w:tcBorders/>
            <w:vAlign w:val="center"/>
          </w:tcPr>
          <w:p>
            <w:pPr>
              <w:pStyle w:val="TableContents"/>
              <w:bidi w:val="0"/>
              <w:spacing w:before="0" w:after="283"/>
              <w:jc w:val="left"/>
              <w:rPr/>
            </w:pPr>
            <w:r>
              <w:rPr/>
              <w:t>2</w:t>
            </w:r>
          </w:p>
        </w:tc>
        <w:tc>
          <w:tcPr>
            <w:tcW w:w="9092" w:type="dxa"/>
            <w:tcBorders/>
            <w:vAlign w:val="center"/>
          </w:tcPr>
          <w:p>
            <w:pPr>
              <w:pStyle w:val="TableContents"/>
              <w:bidi w:val="0"/>
              <w:spacing w:before="0" w:after="283"/>
              <w:jc w:val="left"/>
              <w:rPr/>
            </w:pPr>
            <w:r>
              <w:rPr/>
              <w:t>Assumptions</w:t>
            </w:r>
          </w:p>
        </w:tc>
      </w:tr>
    </w:tbl>
    <w:p>
      <w:pPr>
        <w:pStyle w:val="TextBody"/>
        <w:bidi w:val="0"/>
        <w:spacing w:before="0" w:after="0"/>
        <w:ind w:left="7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2"/>
        <w:gridCol w:w="9453"/>
      </w:tblGrid>
      <w:tr>
        <w:trPr/>
        <w:tc>
          <w:tcPr>
            <w:tcW w:w="752" w:type="dxa"/>
            <w:tcBorders/>
            <w:vAlign w:val="center"/>
          </w:tcPr>
          <w:p>
            <w:pPr>
              <w:pStyle w:val="TableContents"/>
              <w:bidi w:val="0"/>
              <w:spacing w:before="0" w:after="283"/>
              <w:jc w:val="left"/>
              <w:rPr/>
            </w:pPr>
            <w:r>
              <w:rPr/>
              <w:t>2.2</w:t>
            </w:r>
          </w:p>
        </w:tc>
        <w:tc>
          <w:tcPr>
            <w:tcW w:w="9453" w:type="dxa"/>
            <w:tcBorders/>
            <w:vAlign w:val="center"/>
          </w:tcPr>
          <w:p>
            <w:pPr>
              <w:pStyle w:val="TableContents"/>
              <w:bidi w:val="0"/>
              <w:spacing w:before="0" w:after="283"/>
              <w:jc w:val="left"/>
              <w:rPr/>
            </w:pPr>
            <w:r>
              <w:rPr/>
              <w:t>All signatures, initials and seals are genuine.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2.3</w:t>
            </w:r>
          </w:p>
        </w:tc>
        <w:tc>
          <w:tcPr>
            <w:tcW w:w="9870" w:type="dxa"/>
            <w:tcBorders/>
            <w:vAlign w:val="center"/>
          </w:tcPr>
          <w:p>
            <w:pPr>
              <w:pStyle w:val="TableContents"/>
              <w:bidi w:val="0"/>
              <w:spacing w:before="0" w:after="283"/>
              <w:jc w:val="both"/>
              <w:rPr/>
            </w:pPr>
            <w:r>
              <w:rPr/>
              <w:t>There is no contractual or other prohibition or restriction (other than as arising under Cayman Islands law) binding on the Company prohibiting or restricting it from entering into and performing its obligations under the Registration Statement and a duly authorised, executed and delivered Indenture, Subscription Rights Agreement or Unit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2.4</w:t>
            </w:r>
          </w:p>
        </w:tc>
        <w:tc>
          <w:tcPr>
            <w:tcW w:w="9871" w:type="dxa"/>
            <w:tcBorders/>
            <w:vAlign w:val="center"/>
          </w:tcPr>
          <w:p>
            <w:pPr>
              <w:pStyle w:val="TableContents"/>
              <w:bidi w:val="0"/>
              <w:spacing w:before="0" w:after="283"/>
              <w:jc w:val="both"/>
              <w:rPr/>
            </w:pPr>
            <w:r>
              <w:rPr/>
              <w:t>The Company will have sufficient authorised capital to effect the issue of the Shares and the Preferred Shares at the time of issuance.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2.5</w:t>
            </w:r>
          </w:p>
        </w:tc>
        <w:tc>
          <w:tcPr>
            <w:tcW w:w="9871" w:type="dxa"/>
            <w:tcBorders/>
            <w:vAlign w:val="center"/>
          </w:tcPr>
          <w:p>
            <w:pPr>
              <w:pStyle w:val="TableContents"/>
              <w:bidi w:val="0"/>
              <w:spacing w:before="0" w:after="283"/>
              <w:jc w:val="both"/>
              <w:rPr/>
            </w:pPr>
            <w:r>
              <w:rPr/>
              <w:t>The Indentures and the Debt Securities, the Subscription Rights and the Subscription Rights Agreements and the Units and the Unit Agreements,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2.6</w:t>
            </w:r>
          </w:p>
        </w:tc>
        <w:tc>
          <w:tcPr>
            <w:tcW w:w="9870" w:type="dxa"/>
            <w:tcBorders/>
            <w:vAlign w:val="center"/>
          </w:tcPr>
          <w:p>
            <w:pPr>
              <w:pStyle w:val="TableContents"/>
              <w:bidi w:val="0"/>
              <w:spacing w:before="0" w:after="283"/>
              <w:jc w:val="both"/>
              <w:rPr/>
            </w:pPr>
            <w:r>
              <w:rPr/>
              <w:t>The choice of the laws of the State of New York as the governing law of the Indenture and the Debt Securities, and the Subscription Rights and the Subscription Rights Agreements,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2.7</w:t>
            </w:r>
          </w:p>
        </w:tc>
        <w:tc>
          <w:tcPr>
            <w:tcW w:w="9870" w:type="dxa"/>
            <w:tcBorders/>
            <w:vAlign w:val="center"/>
          </w:tcPr>
          <w:p>
            <w:pPr>
              <w:pStyle w:val="TableContents"/>
              <w:bidi w:val="0"/>
              <w:spacing w:before="0" w:after="283"/>
              <w:jc w:val="both"/>
              <w:rPr/>
            </w:pPr>
            <w:r>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Indenture and the Debt Securities and the Subscription Rights and the Subscription Rights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2.8</w:t>
            </w:r>
          </w:p>
        </w:tc>
        <w:tc>
          <w:tcPr>
            <w:tcW w:w="9871" w:type="dxa"/>
            <w:tcBorders/>
            <w:vAlign w:val="center"/>
          </w:tcPr>
          <w:p>
            <w:pPr>
              <w:pStyle w:val="TableContents"/>
              <w:bidi w:val="0"/>
              <w:spacing w:before="0" w:after="283"/>
              <w:jc w:val="both"/>
              <w:rPr/>
            </w:pPr>
            <w:r>
              <w:rPr/>
              <w:t>No monies paid to or for the account of the Company in respect of the Shares, the Debt Securities, the Subscription Rights or the Units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2.9</w:t>
            </w:r>
          </w:p>
        </w:tc>
        <w:tc>
          <w:tcPr>
            <w:tcW w:w="9871" w:type="dxa"/>
            <w:tcBorders/>
            <w:vAlign w:val="center"/>
          </w:tcPr>
          <w:p>
            <w:pPr>
              <w:pStyle w:val="TableContents"/>
              <w:bidi w:val="0"/>
              <w:spacing w:before="0" w:after="283"/>
              <w:jc w:val="both"/>
              <w:rPr/>
            </w:pPr>
            <w:r>
              <w:rPr/>
              <w:t>There is nothing contained in the minute book or corporate records of the Company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pPr>
            <w:r>
              <w:rPr/>
              <w:t>2.10</w:t>
            </w:r>
          </w:p>
        </w:tc>
        <w:tc>
          <w:tcPr>
            <w:tcW w:w="9751" w:type="dxa"/>
            <w:tcBorders/>
            <w:vAlign w:val="center"/>
          </w:tcPr>
          <w:p>
            <w:pPr>
              <w:pStyle w:val="TableContents"/>
              <w:bidi w:val="0"/>
              <w:spacing w:before="0" w:after="283"/>
              <w:jc w:val="both"/>
              <w:rPr/>
            </w:pPr>
            <w:r>
              <w:rPr/>
              <w:t>There is nothing under any law (other than the law of the Cayman Islands),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0"/>
        <w:gridCol w:w="8575"/>
      </w:tblGrid>
      <w:tr>
        <w:trPr/>
        <w:tc>
          <w:tcPr>
            <w:tcW w:w="1630" w:type="dxa"/>
            <w:tcBorders/>
            <w:vAlign w:val="center"/>
          </w:tcPr>
          <w:p>
            <w:pPr>
              <w:pStyle w:val="TableContents"/>
              <w:bidi w:val="0"/>
              <w:spacing w:before="0" w:after="283"/>
              <w:jc w:val="left"/>
              <w:rPr/>
            </w:pPr>
            <w:r>
              <w:rPr/>
              <w:t>3</w:t>
            </w:r>
          </w:p>
        </w:tc>
        <w:tc>
          <w:tcPr>
            <w:tcW w:w="8575" w:type="dxa"/>
            <w:tcBorders/>
            <w:vAlign w:val="center"/>
          </w:tcPr>
          <w:p>
            <w:pPr>
              <w:pStyle w:val="TableContents"/>
              <w:bidi w:val="0"/>
              <w:spacing w:before="0" w:after="283"/>
              <w:jc w:val="left"/>
              <w:rPr/>
            </w:pPr>
            <w:r>
              <w:rPr/>
              <w:t>Opinion</w:t>
            </w:r>
          </w:p>
        </w:tc>
      </w:tr>
    </w:tbl>
    <w:p>
      <w:pPr>
        <w:pStyle w:val="TextBody"/>
        <w:bidi w:val="0"/>
        <w:spacing w:before="0" w:after="0"/>
        <w:ind w:left="7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3.1</w:t>
            </w:r>
          </w:p>
        </w:tc>
        <w:tc>
          <w:tcPr>
            <w:tcW w:w="9871"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3.2</w:t>
            </w:r>
          </w:p>
        </w:tc>
        <w:tc>
          <w:tcPr>
            <w:tcW w:w="9871" w:type="dxa"/>
            <w:tcBorders/>
            <w:vAlign w:val="center"/>
          </w:tcPr>
          <w:p>
            <w:pPr>
              <w:pStyle w:val="TableContents"/>
              <w:bidi w:val="0"/>
              <w:spacing w:before="0" w:after="283"/>
              <w:jc w:val="both"/>
              <w:rPr/>
            </w:pPr>
            <w:r>
              <w:rPr/>
              <w:t>The authorised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(the “</w:t>
            </w:r>
            <w:r>
              <w:rPr>
                <w:rFonts w:ascii="Times New Roman;Times;Serif" w:hAnsi="Times New Roman;Times;Serif"/>
                <w:b/>
              </w:rPr>
              <w:t>Board</w:t>
            </w:r>
            <w:r>
              <w:rPr/>
              <w:t>”) may determine in accordance with the Memorandum and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3.3</w:t>
            </w:r>
          </w:p>
        </w:tc>
        <w:tc>
          <w:tcPr>
            <w:tcW w:w="9870" w:type="dxa"/>
            <w:tcBorders/>
            <w:vAlign w:val="center"/>
          </w:tcPr>
          <w:p>
            <w:pPr>
              <w:pStyle w:val="TableContents"/>
              <w:bidi w:val="0"/>
              <w:spacing w:before="0" w:after="283"/>
              <w:jc w:val="both"/>
              <w:rPr/>
            </w:pPr>
            <w:r>
              <w:rPr/>
              <w:t>With respect to the Shares and the Preferred Shares, when (i) the Board has taken all necessary corporate action to approve the issue thereof, the terms of the offering thereof and related matters; (ii) the issue of such Shares or Preferred Shares has been recorded in the Company’s register of members (shareholders); and (iii) the subscription price of such Shares or Preferred Shares, (being not less than the par value of the Shares or Preferred Shares, as the case may be) has been fully paid in cash or other consideration approved by the Board, the Shares or Preferred Shares will be duly authorised,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3.4</w:t>
            </w:r>
          </w:p>
        </w:tc>
        <w:tc>
          <w:tcPr>
            <w:tcW w:w="9871" w:type="dxa"/>
            <w:tcBorders/>
            <w:vAlign w:val="center"/>
          </w:tcPr>
          <w:p>
            <w:pPr>
              <w:pStyle w:val="TableContents"/>
              <w:bidi w:val="0"/>
              <w:spacing w:before="0" w:after="283"/>
              <w:jc w:val="both"/>
              <w:rPr/>
            </w:pPr>
            <w:r>
              <w:rPr/>
              <w:t>With respect to each issue of the Debt Securities, when (i) the Board has taken all necessary corporate action to approve the creation and terms of the Debt Securities and to approve the issue thereof, the terms of the offering thereof and related matters; (ii) an Indenture relating to the Debt Securities and the Debt Securities shall have been authorised and duly executed and delivered by and on behalf of the Company and all the relevant parties thereunder in accordance with all relevant laws; and (iii) when such Debt Securities issued thereunder have been duly executed and delivered on behalf of the Company and authenticated in the manner set forth in the Indenture relating to such issue of Debt Securities and delivered against due payment therefor pursuant to, and in accordance with, the terms of the Registration Statement and any relevant prospectus supplement, such Debt Securities issued pursuant to the Indenture will have been duly executed, issued and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3.5</w:t>
            </w:r>
          </w:p>
        </w:tc>
        <w:tc>
          <w:tcPr>
            <w:tcW w:w="9871" w:type="dxa"/>
            <w:tcBorders/>
            <w:vAlign w:val="center"/>
          </w:tcPr>
          <w:p>
            <w:pPr>
              <w:pStyle w:val="TableContents"/>
              <w:bidi w:val="0"/>
              <w:spacing w:before="0" w:after="283"/>
              <w:jc w:val="both"/>
              <w:rPr/>
            </w:pPr>
            <w:r>
              <w:rPr/>
              <w:t>With respect to each issue of the Subscription Rights, when (i) the Board has taken all necessary corporate action to approve the creation and terms of the Subscription Rights and to approve the issue thereof, the terms of the offering thereof and related matters; (ii) a Subscription Rights Agreement relating to the Subscription Rights and the Subscription Rights shall have been authorised and duly executed and delivered by and on behalf of the Company and all the relevant parties thereunder in accordance with all relevant laws; and (iii) when such Subscription Rights issued thereunder have been duly executed and delivered on behalf of the Company and authenticated in the manner set forth in the Subscription Rights Agreement relating to such issue of Subscription Rights and delivered against due payment therefor pursuant to, and in accordance with, the terms of the Registration Statement and any relevant prospectus supplement, such Subscription Rights issued pursuant to the Subscription Rights Agreement will have been duly executed, issued and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3.6</w:t>
            </w:r>
          </w:p>
        </w:tc>
        <w:tc>
          <w:tcPr>
            <w:tcW w:w="9871" w:type="dxa"/>
            <w:tcBorders/>
            <w:vAlign w:val="center"/>
          </w:tcPr>
          <w:p>
            <w:pPr>
              <w:pStyle w:val="TableContents"/>
              <w:bidi w:val="0"/>
              <w:spacing w:before="0" w:after="283"/>
              <w:jc w:val="both"/>
              <w:rPr/>
            </w:pPr>
            <w:r>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 relating to such issue of Units and delivered against due payment therefor pursuant to, and in accordance with, the terms of the Registration Statement and any relevant prospectus supplement, such Units issued pursuant to the Unit Agreement will have been duly executed, issued and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3.7</w:t>
            </w:r>
          </w:p>
        </w:tc>
        <w:tc>
          <w:tcPr>
            <w:tcW w:w="9871" w:type="dxa"/>
            <w:tcBorders/>
            <w:vAlign w:val="center"/>
          </w:tcPr>
          <w:p>
            <w:pPr>
              <w:pStyle w:val="TableContents"/>
              <w:bidi w:val="0"/>
              <w:spacing w:before="0" w:after="283"/>
              <w:jc w:val="both"/>
              <w:rPr/>
            </w:pPr>
            <w:r>
              <w:rPr/>
              <w:t>The statements under the caption “Enforceability of Civil Liabilities” and “Taxation” in the prospectus forming part of the Registration Statement are accurate in so far as such statements are summaries of or relate to Cayman Islands law, and such statements constitute our opinion.</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55"/>
        <w:gridCol w:w="1355"/>
      </w:tblGrid>
      <w:tr>
        <w:trPr/>
        <w:tc>
          <w:tcPr>
            <w:tcW w:w="155" w:type="dxa"/>
            <w:tcBorders/>
            <w:vAlign w:val="center"/>
          </w:tcPr>
          <w:p>
            <w:pPr>
              <w:pStyle w:val="TableContents"/>
              <w:bidi w:val="0"/>
              <w:spacing w:before="0" w:after="283"/>
              <w:jc w:val="left"/>
              <w:rPr/>
            </w:pPr>
            <w:r>
              <w:rPr/>
              <w:t>4</w:t>
            </w:r>
          </w:p>
        </w:tc>
        <w:tc>
          <w:tcPr>
            <w:tcW w:w="1355" w:type="dxa"/>
            <w:tcBorders/>
            <w:vAlign w:val="center"/>
          </w:tcPr>
          <w:p>
            <w:pPr>
              <w:pStyle w:val="TableContents"/>
              <w:bidi w:val="0"/>
              <w:spacing w:before="0" w:after="283"/>
              <w:jc w:val="left"/>
              <w:rPr/>
            </w:pPr>
            <w:r>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4.1</w:t>
            </w:r>
          </w:p>
        </w:tc>
        <w:tc>
          <w:tcPr>
            <w:tcW w:w="9871" w:type="dxa"/>
            <w:tcBorders/>
            <w:vAlign w:val="center"/>
          </w:tcPr>
          <w:p>
            <w:pPr>
              <w:pStyle w:val="TableContents"/>
              <w:bidi w:val="0"/>
              <w:spacing w:before="0" w:after="283"/>
              <w:jc w:val="both"/>
              <w:rPr/>
            </w:pPr>
            <w:r>
              <w:rPr/>
              <w:t>To maintain the Company in good standing under the laws of the Cayman Islands, annual filing fees must be paid and returns made to the Registrar of Companies within the time frame prescribed by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The obligations assumed by the Company under the Indentures, the Subscription Rights Agreements and the Unit Agreements will not necessarily be enforceable in all circumstances in accordance with their terms. In particular:</w:t>
            </w:r>
          </w:p>
        </w:tc>
      </w:tr>
    </w:tbl>
    <w:p>
      <w:pPr>
        <w:pStyle w:val="TextBody"/>
        <w:bidi w:val="0"/>
        <w:spacing w:before="0" w:after="0"/>
        <w:ind w:left="1429" w:right="0" w:hanging="67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enforcement may be limited by bankruptcy, insolvency, liquidation, reorganisation, readjustment of debts or moratorium or other laws of general application relating to, protecting or affecting the rights of creditors and/or contributories;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 xml:space="preserve">enforcement may be limited by general principles of equity. For example, equitable remedies such as specific performance may not be available, </w:t>
            </w:r>
            <w:r>
              <w:rPr>
                <w:rFonts w:ascii="Times New Roman;Times;Serif" w:hAnsi="Times New Roman;Times;Serif"/>
                <w:i/>
              </w:rPr>
              <w:t>inter alia</w:t>
            </w:r>
            <w:r>
              <w:rPr/>
              <w:t>, where damages are considered to be an adequate remedy;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both"/>
              <w:rPr/>
            </w:pPr>
            <w:r>
              <w:rPr/>
              <w:t>some claims may become barred under relevant statutes of limitation or may be or become subject to defences of set off, counterclaim, estoppel and similar defences;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both"/>
              <w:rPr/>
            </w:pPr>
            <w:r>
              <w:rPr/>
              <w:t>where obligations are to be performed in a jurisdiction outside the Cayman Islands, they may not be enforceable in the Cayman Islands to the extent that performance would be illegal under the laws of that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pPr>
            <w:r>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24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5825" w:type="dxa"/>
            <w:tcBorders/>
            <w:vAlign w:val="center"/>
          </w:tcPr>
          <w:p>
            <w:pPr>
              <w:pStyle w:val="TableContents"/>
              <w:bidi w:val="0"/>
              <w:spacing w:before="0" w:after="283"/>
              <w:jc w:val="left"/>
              <w:rPr/>
            </w:pPr>
            <w:r>
              <w:rPr/>
              <w:t>arrangements that constitute penalties will not be enforceable;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(g)</w:t>
            </w:r>
          </w:p>
        </w:tc>
        <w:tc>
          <w:tcPr>
            <w:tcW w:w="9911" w:type="dxa"/>
            <w:tcBorders/>
            <w:vAlign w:val="center"/>
          </w:tcPr>
          <w:p>
            <w:pPr>
              <w:pStyle w:val="TableContents"/>
              <w:bidi w:val="0"/>
              <w:spacing w:before="0" w:after="283"/>
              <w:jc w:val="both"/>
              <w:rPr/>
            </w:pPr>
            <w:r>
              <w:rPr/>
              <w:t>enforcement may be prevented by reason of fraud, coercion, duress, undue influence, misrepresentation, public policy or mistake or limited by the doctrine of frustration of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(h)</w:t>
            </w:r>
          </w:p>
        </w:tc>
        <w:tc>
          <w:tcPr>
            <w:tcW w:w="9904" w:type="dxa"/>
            <w:tcBorders/>
            <w:vAlign w:val="center"/>
          </w:tcPr>
          <w:p>
            <w:pPr>
              <w:pStyle w:val="TableContents"/>
              <w:bidi w:val="0"/>
              <w:spacing w:before="0" w:after="283"/>
              <w:jc w:val="both"/>
              <w:rPr/>
            </w:pPr>
            <w:r>
              <w:rPr/>
              <w:t>provisions imposing confidentiality obligations may be overridden by compulsion of applicable law or the requirements of legal and/or regulatory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the courts of the Cayman Islands may decline to exercise jurisdiction in relation to substantive proceedings brought under or in relation to the Indentures, the Subscription Rights Agreements and Unit Agreements in matters where they determine that such proceedings may be tried in a more appropriate forum;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(j)</w:t>
            </w:r>
          </w:p>
        </w:tc>
        <w:tc>
          <w:tcPr>
            <w:tcW w:w="9992" w:type="dxa"/>
            <w:tcBorders/>
            <w:vAlign w:val="center"/>
          </w:tcPr>
          <w:p>
            <w:pPr>
              <w:pStyle w:val="TableContents"/>
              <w:bidi w:val="0"/>
              <w:spacing w:before="0" w:after="283"/>
              <w:jc w:val="both"/>
              <w:rPr/>
            </w:pPr>
            <w:r>
              <w:rPr/>
              <w:t>we reserve our opinion as to the enforceability of the relevant provisions of the Indentures, the Subscription Rights Agreements and the Unit Agreements to the extent that they purport to grant exclusive jurisdiction as there may be circumstances in which the courts of the Cayman Islands would accept jurisdiction notwithstanding such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(k)</w:t>
            </w:r>
          </w:p>
        </w:tc>
        <w:tc>
          <w:tcPr>
            <w:tcW w:w="9941" w:type="dxa"/>
            <w:tcBorders/>
            <w:vAlign w:val="center"/>
          </w:tcPr>
          <w:p>
            <w:pPr>
              <w:pStyle w:val="TableContents"/>
              <w:bidi w:val="0"/>
              <w:spacing w:before="0" w:after="283"/>
              <w:jc w:val="both"/>
              <w:rPr/>
            </w:pPr>
            <w:r>
              <w:rPr/>
              <w:t>a company cannot, by agreement or in its articles of association, restrict the exercise of a statutory power and there is doubt as to the enforceability of any provision in the Indentures, the Subscription Rights Agreements and the Unit Agreements whereby the Company covenants to restrict the exercise of powers specifically given to it under the Companies Act (As Revised) (the “</w:t>
            </w:r>
            <w:r>
              <w:rPr>
                <w:rFonts w:ascii="Times New Roman;Times;Serif" w:hAnsi="Times New Roman;Times;Serif"/>
                <w:b/>
              </w:rPr>
              <w:t>Companies Act</w:t>
            </w:r>
            <w:r>
              <w:rPr/>
              <w:t>”), including, without limitation, the power to increase its authorised share capital, amend its memorandum and articles of association or present a petition to a Cayman Islands court for an order to wind up the Company; and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(l)</w:t>
            </w:r>
          </w:p>
        </w:tc>
        <w:tc>
          <w:tcPr>
            <w:tcW w:w="9999" w:type="dxa"/>
            <w:tcBorders/>
            <w:vAlign w:val="center"/>
          </w:tcPr>
          <w:p>
            <w:pPr>
              <w:pStyle w:val="TableContents"/>
              <w:bidi w:val="0"/>
              <w:spacing w:before="0" w:after="283"/>
              <w:jc w:val="both"/>
              <w:rPr/>
            </w:pPr>
            <w:r>
              <w:rPr/>
              <w:t>if the Company becomes subject to Part XVIIA of the Companies Act, enforcement or performance of any provision in the Indentures, the Subscription Rights Agreements and the Unit Agreements which relates, directly or indirectly, to an interest in the Company constituting shares, voting rights or director appointment rights in the Company may be prohibited or restricted if any such relevant interest is or becomes subject to a restrictions notice issued under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4.3</w:t>
            </w:r>
          </w:p>
        </w:tc>
        <w:tc>
          <w:tcPr>
            <w:tcW w:w="9871" w:type="dxa"/>
            <w:tcBorders/>
            <w:vAlign w:val="center"/>
          </w:tcPr>
          <w:p>
            <w:pPr>
              <w:pStyle w:val="TableContents"/>
              <w:bidi w:val="0"/>
              <w:spacing w:before="0" w:after="283"/>
              <w:jc w:val="both"/>
              <w:rPr/>
            </w:pPr>
            <w:r>
              <w:rPr/>
              <w:t>We express no opinion as to the meaning, validity or effect of any references to foreign (i.e. non-Cayman Islands) statutes, rules, regulations, codes, judicial authority or any other promulgations and any references to them in the Indentures or the Debt Securities, the Subscription Rights Agreements or the Subscription Rights or the Unit Agreements or the Units.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4.4</w:t>
            </w:r>
          </w:p>
        </w:tc>
        <w:tc>
          <w:tcPr>
            <w:tcW w:w="9871" w:type="dxa"/>
            <w:tcBorders/>
            <w:vAlign w:val="center"/>
          </w:tcPr>
          <w:p>
            <w:pPr>
              <w:pStyle w:val="TableContents"/>
              <w:bidi w:val="0"/>
              <w:spacing w:before="0" w:after="283"/>
              <w:jc w:val="both"/>
              <w:rPr/>
            </w:pPr>
            <w:r>
              <w:rPr/>
              <w:t>We have not reviewed any of the Indentures or the Debt Securities to be issued thereunder, the Subscription Rights Agreements or the Subscription Rights to be issued thereunder or the Unit Agreements or the Units to be issued thereunder and our opinions are qualified accordingly.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4.5</w:t>
            </w:r>
          </w:p>
        </w:tc>
        <w:tc>
          <w:tcPr>
            <w:tcW w:w="9871" w:type="dxa"/>
            <w:tcBorders/>
            <w:vAlign w:val="center"/>
          </w:tcPr>
          <w:p>
            <w:pPr>
              <w:pStyle w:val="TableContents"/>
              <w:bidi w:val="0"/>
              <w:spacing w:before="0" w:after="283"/>
              <w:jc w:val="both"/>
              <w:rPr/>
            </w:pPr>
            <w:r>
              <w:rPr/>
              <w:t>We reserve our opinion as to the extent to which the courts of the Cayman Islands would, in the event of any relevant illegality or invalidity, sever the relevant provisions of the Indentures and the Debt Securities, or the Subscription Rights Agreements or the Subscription Rights, or the Unit Agreements or the Units and enforce the remainder of the Indentures and the Debt Securities or the Subscription Rights Agreements or the Subscription Rights or the Unit Agreements or the Units or the transaction of which such provisions form a part, notwithstanding any express provisions in the Indentures or the Debt Securities, the Subscription Rights Agreements or the Subscription Rights or the Unit Agreements or the Units in this regard.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4.6</w:t>
            </w:r>
          </w:p>
        </w:tc>
        <w:tc>
          <w:tcPr>
            <w:tcW w:w="9871" w:type="dxa"/>
            <w:tcBorders/>
            <w:vAlign w:val="center"/>
          </w:tcPr>
          <w:p>
            <w:pPr>
              <w:pStyle w:val="TableContents"/>
              <w:bidi w:val="0"/>
              <w:spacing w:before="0" w:after="283"/>
              <w:jc w:val="both"/>
              <w:rPr/>
            </w:pPr>
            <w:r>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4.7</w:t>
            </w:r>
          </w:p>
        </w:tc>
        <w:tc>
          <w:tcPr>
            <w:tcW w:w="9871" w:type="dxa"/>
            <w:tcBorders/>
            <w:vAlign w:val="center"/>
          </w:tcPr>
          <w:p>
            <w:pPr>
              <w:pStyle w:val="TableContents"/>
              <w:bidi w:val="0"/>
              <w:spacing w:before="0" w:after="283"/>
              <w:jc w:val="both"/>
              <w:rPr/>
            </w:pPr>
            <w:r>
              <w:rPr/>
              <w:t>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headings “Enforceability of Civil Liabilities”, “Taxation”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7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22910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4229100"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Certificate</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365"/>
        <w:gridCol w:w="3725"/>
      </w:tblGrid>
      <w:tr>
        <w:trPr/>
        <w:tc>
          <w:tcPr>
            <w:tcW w:w="365" w:type="dxa"/>
            <w:tcBorders/>
            <w:vAlign w:val="center"/>
          </w:tcPr>
          <w:p>
            <w:pPr>
              <w:pStyle w:val="TableContents"/>
              <w:bidi w:val="0"/>
              <w:spacing w:before="0" w:after="283"/>
              <w:jc w:val="left"/>
              <w:rPr/>
            </w:pPr>
            <w:r>
              <w:rPr/>
              <w:t>To:</w:t>
            </w:r>
          </w:p>
        </w:tc>
        <w:tc>
          <w:tcPr>
            <w:tcW w:w="3725" w:type="dxa"/>
            <w:tcBorders/>
            <w:vAlign w:val="center"/>
          </w:tcPr>
          <w:p>
            <w:pPr>
              <w:pStyle w:val="TableContents"/>
              <w:bidi w:val="0"/>
              <w:spacing w:before="0" w:after="283"/>
              <w:jc w:val="left"/>
              <w:rPr/>
            </w:pPr>
            <w:r>
              <w:rPr/>
              <w:t xml:space="preserve">Maples and Calder (Hong Kong) LLP </w:t>
            </w:r>
          </w:p>
        </w:tc>
      </w:tr>
    </w:tbl>
    <w:p>
      <w:pPr>
        <w:pStyle w:val="TextBody"/>
        <w:bidi w:val="0"/>
        <w:ind w:left="720" w:right="0" w:hanging="0"/>
        <w:jc w:val="left"/>
        <w:rPr/>
      </w:pPr>
      <w:r>
        <w:rPr/>
        <w:t>26th Floor, Central Plaza</w:t>
      </w:r>
    </w:p>
    <w:p>
      <w:pPr>
        <w:pStyle w:val="TextBody"/>
        <w:bidi w:val="0"/>
        <w:ind w:left="720" w:right="0" w:hanging="0"/>
        <w:jc w:val="left"/>
        <w:rPr/>
      </w:pPr>
      <w:r>
        <w:rPr/>
        <w:t>18 Harbour Road</w:t>
      </w:r>
    </w:p>
    <w:p>
      <w:pPr>
        <w:pStyle w:val="TextBody"/>
        <w:bidi w:val="0"/>
        <w:ind w:left="720" w:right="0" w:hanging="0"/>
        <w:jc w:val="left"/>
        <w:rPr/>
      </w:pPr>
      <w:r>
        <w:rPr/>
        <w:t>Wanchai, Hong Kong</w:t>
      </w:r>
    </w:p>
    <w:p>
      <w:pPr>
        <w:pStyle w:val="TextBody"/>
        <w:bidi w:val="0"/>
        <w:spacing w:before="0" w:after="0"/>
        <w:ind w:left="567"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being a director of the Company, am aware that you are being asked to provide a legal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relation to certain aspects of Cayman Islands law. Capitalised terms used in this certificate have the meaning given to them in the Opinion. I hereby certify that:</w:t>
      </w:r>
    </w:p>
    <w:p>
      <w:pPr>
        <w:pStyle w:val="TextBody"/>
        <w:bidi w:val="0"/>
        <w:spacing w:before="0" w:after="0"/>
        <w:ind w:left="720" w:right="0" w:hanging="72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55"/>
        <w:gridCol w:w="7280"/>
      </w:tblGrid>
      <w:tr>
        <w:trPr/>
        <w:tc>
          <w:tcPr>
            <w:tcW w:w="155" w:type="dxa"/>
            <w:tcBorders/>
            <w:vAlign w:val="center"/>
          </w:tcPr>
          <w:p>
            <w:pPr>
              <w:pStyle w:val="TableContents"/>
              <w:bidi w:val="0"/>
              <w:spacing w:before="0" w:after="283"/>
              <w:jc w:val="left"/>
              <w:rPr/>
            </w:pPr>
            <w:r>
              <w:rPr/>
              <w:t>1</w:t>
            </w:r>
          </w:p>
        </w:tc>
        <w:tc>
          <w:tcPr>
            <w:tcW w:w="7280" w:type="dxa"/>
            <w:tcBorders/>
            <w:vAlign w:val="center"/>
          </w:tcPr>
          <w:p>
            <w:pPr>
              <w:pStyle w:val="TableContents"/>
              <w:bidi w:val="0"/>
              <w:spacing w:before="0" w:after="283"/>
              <w:jc w:val="left"/>
              <w:rPr/>
            </w:pPr>
            <w:r>
              <w:rPr/>
              <w:t>The Memorandum and Articles remain in full and effect and are unamended.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283"/>
              <w:jc w:val="both"/>
              <w:rPr/>
            </w:pPr>
            <w:r>
              <w:rPr/>
              <w:t>The Board Resolutions were duly passed in the manner prescribed in the Memorandum and Articles (including, without limitation, with respect to the disclosure of interests (if any) by directors of the Company) and have not been amended, varied or revoked in any respect.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3</w:t>
            </w:r>
          </w:p>
        </w:tc>
        <w:tc>
          <w:tcPr>
            <w:tcW w:w="10051" w:type="dxa"/>
            <w:tcBorders/>
            <w:vAlign w:val="center"/>
          </w:tcPr>
          <w:p>
            <w:pPr>
              <w:pStyle w:val="TableContents"/>
              <w:bidi w:val="0"/>
              <w:spacing w:before="0" w:after="283"/>
              <w:jc w:val="both"/>
              <w:rPr/>
            </w:pPr>
            <w:r>
              <w:rPr/>
              <w:t>The authorised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may determine in accordance with the Memorandum and Articles.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4</w:t>
            </w:r>
          </w:p>
        </w:tc>
        <w:tc>
          <w:tcPr>
            <w:tcW w:w="10051" w:type="dxa"/>
            <w:tcBorders/>
            <w:vAlign w:val="center"/>
          </w:tcPr>
          <w:p>
            <w:pPr>
              <w:pStyle w:val="TableContents"/>
              <w:bidi w:val="0"/>
              <w:spacing w:before="0" w:after="283"/>
              <w:jc w:val="both"/>
              <w:rPr/>
            </w:pPr>
            <w:r>
              <w:rPr/>
              <w:t>The shareholders of the Company have not restricted or limited the powers of the directors in any way and there is no contractual or other prohibition (other than as arising under Cayman Islands law) binding on the Company prohibiting it from issuing and allotting the Shares or otherwise performing its obligations under the Registration Statement.</w:t>
            </w:r>
          </w:p>
        </w:tc>
      </w:tr>
    </w:tbl>
    <w:p>
      <w:pPr>
        <w:pStyle w:val="TextBody"/>
        <w:bidi w:val="0"/>
        <w:spacing w:before="0" w:after="0"/>
        <w:ind w:left="720" w:right="0" w:hanging="72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55"/>
        <w:gridCol w:w="9725"/>
      </w:tblGrid>
      <w:tr>
        <w:trPr/>
        <w:tc>
          <w:tcPr>
            <w:tcW w:w="155" w:type="dxa"/>
            <w:tcBorders/>
            <w:vAlign w:val="center"/>
          </w:tcPr>
          <w:p>
            <w:pPr>
              <w:pStyle w:val="TableContents"/>
              <w:bidi w:val="0"/>
              <w:spacing w:before="0" w:after="283"/>
              <w:jc w:val="left"/>
              <w:rPr/>
            </w:pPr>
            <w:r>
              <w:rPr/>
              <w:t>5</w:t>
            </w:r>
          </w:p>
        </w:tc>
        <w:tc>
          <w:tcPr>
            <w:tcW w:w="9725" w:type="dxa"/>
            <w:tcBorders/>
            <w:vAlign w:val="center"/>
          </w:tcPr>
          <w:p>
            <w:pPr>
              <w:pStyle w:val="TableContents"/>
              <w:bidi w:val="0"/>
              <w:spacing w:before="0" w:after="283"/>
              <w:jc w:val="left"/>
              <w:rPr/>
            </w:pPr>
            <w:r>
              <w:rPr/>
              <w:t>The directors of the Company at the date of the Board Resolutions and at the date hereof were and are: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Huat Lim</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Chwee Koh Chua</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Noi Keng Koh</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Teck Lim</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Poh Kiong Tan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6</w:t>
            </w:r>
          </w:p>
        </w:tc>
        <w:tc>
          <w:tcPr>
            <w:tcW w:w="10050" w:type="dxa"/>
            <w:tcBorders/>
            <w:vAlign w:val="center"/>
          </w:tcPr>
          <w:p>
            <w:pPr>
              <w:pStyle w:val="TableContents"/>
              <w:bidi w:val="0"/>
              <w:spacing w:before="0" w:after="283"/>
              <w:jc w:val="both"/>
              <w:rPr/>
            </w:pPr>
            <w:r>
              <w:rPr/>
              <w:t>Each director of the Company considers the transactions contemplated by the Registration Statement to be of commercial benefit to the Company and has acted bona fide in the best interests of the Company, and for a proper purpose of the Company in relation to the transactions the subject of the Opinion.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7</w:t>
            </w:r>
          </w:p>
        </w:tc>
        <w:tc>
          <w:tcPr>
            <w:tcW w:w="10050" w:type="dxa"/>
            <w:tcBorders/>
            <w:vAlign w:val="center"/>
          </w:tcPr>
          <w:p>
            <w:pPr>
              <w:pStyle w:val="TableContents"/>
              <w:bidi w:val="0"/>
              <w:spacing w:before="0" w:after="283"/>
              <w:jc w:val="both"/>
              <w:rPr/>
            </w:pPr>
            <w:r>
              <w:rPr/>
              <w:t>To the best of my knowledge and belief, having made due inquiry, the Company is not the subject of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8</w:t>
            </w:r>
          </w:p>
        </w:tc>
        <w:tc>
          <w:tcPr>
            <w:tcW w:w="10050" w:type="dxa"/>
            <w:tcBorders/>
            <w:vAlign w:val="center"/>
          </w:tcPr>
          <w:p>
            <w:pPr>
              <w:pStyle w:val="TableContents"/>
              <w:bidi w:val="0"/>
              <w:spacing w:before="0" w:after="283"/>
              <w:jc w:val="both"/>
              <w:rPr/>
            </w:pPr>
            <w:r>
              <w:rPr/>
              <w:t>No interest in the Company constituting shares, voting rights or ultimate effective control over management in the Company is currently subject to a restrictions notice issued under the BOT Act.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9</w:t>
            </w:r>
          </w:p>
        </w:tc>
        <w:tc>
          <w:tcPr>
            <w:tcW w:w="10050" w:type="dxa"/>
            <w:tcBorders/>
            <w:vAlign w:val="center"/>
          </w:tcPr>
          <w:p>
            <w:pPr>
              <w:pStyle w:val="TableContents"/>
              <w:bidi w:val="0"/>
              <w:spacing w:before="0" w:after="283"/>
              <w:jc w:val="both"/>
              <w:rPr/>
            </w:pPr>
            <w:r>
              <w:rPr/>
              <w:t>To the best of my knowledge and belief, having made due enquiry, none of the shares, interests, rights or obligations, if any, which are directly or indirectly the subject of the transactions contemplated by the Registration Statement is currently subject to any restrictions notice issued under the BOT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you may continue to rely on this Certificate as being true and correct on the day that you issue the Opinion unless I shall have previously notified you personally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875"/>
        <w:gridCol w:w="1490"/>
        <w:gridCol w:w="75"/>
      </w:tblGrid>
      <w:tr>
        <w:trPr/>
        <w:tc>
          <w:tcPr>
            <w:tcW w:w="875" w:type="dxa"/>
            <w:tcBorders/>
            <w:vAlign w:val="center"/>
          </w:tcPr>
          <w:p>
            <w:pPr>
              <w:pStyle w:val="TableContents"/>
              <w:bidi w:val="0"/>
              <w:spacing w:before="0" w:after="283"/>
              <w:jc w:val="left"/>
              <w:rPr>
                <w:sz w:val="20"/>
              </w:rPr>
            </w:pPr>
            <w:r>
              <w:rPr>
                <w:sz w:val="20"/>
              </w:rPr>
              <w:t>Signature:</w:t>
            </w:r>
          </w:p>
        </w:tc>
        <w:tc>
          <w:tcPr>
            <w:tcW w:w="14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Soon Huat Lim</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Name:</w:t>
            </w:r>
          </w:p>
        </w:tc>
        <w:tc>
          <w:tcPr>
            <w:tcW w:w="1490" w:type="dxa"/>
            <w:tcBorders/>
            <w:vAlign w:val="center"/>
          </w:tcPr>
          <w:p>
            <w:pPr>
              <w:pStyle w:val="TableContents"/>
              <w:bidi w:val="0"/>
              <w:spacing w:before="0" w:after="283"/>
              <w:jc w:val="left"/>
              <w:rPr>
                <w:sz w:val="20"/>
              </w:rPr>
            </w:pPr>
            <w:r>
              <w:rPr>
                <w:sz w:val="20"/>
              </w:rPr>
              <w:t>Soon Huat Lim</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Title:</w:t>
            </w:r>
          </w:p>
        </w:tc>
        <w:tc>
          <w:tcPr>
            <w:tcW w:w="1490"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132001ex23-1.htm"/>
      <w:bookmarkStart w:id="24" w:name="ksea030132001ex231"/>
      <w:bookmarkEnd w:id="23"/>
      <w:bookmarkEnd w:id="2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HYYH CPA.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S Charles St Ste 403, Baltimore,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Maryland, MD 21201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www.hyyhcpa.com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 dated April 28, 2026 with respect to the consolidated financial statements appearing in the Annual Report on Form 20-F of Trident Digital Tech Holdings Ltd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HYYH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HYYH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Baltimore, Maryland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132001ex23-2.htm"/>
      <w:bookmarkStart w:id="26" w:name="ksea030132001ex232"/>
      <w:bookmarkEnd w:id="25"/>
      <w:bookmarkEnd w:id="26"/>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81225"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2181225" cy="342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 dated April 28, 2025 relating to the financial statements appearing in the Annual Report on Form 20-F of Trident Digital Tech Holdings Ltd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OFFICE ● 7 Penn Plaza ● Suite 830 ● New York, New York ● 10001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646.442.4845 ● Fax 646.349.5200 ● www.marcumasia.com</w:t>
      </w:r>
    </w:p>
    <w:p>
      <w:pPr>
        <w:pStyle w:val="TextBody"/>
        <w:bidi w:val="0"/>
        <w:spacing w:before="0" w:after="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7" w:name="ea030132001ex-fee.htm"/>
      <w:bookmarkStart w:id="28" w:name="ksea030132001exfee"/>
      <w:bookmarkEnd w:id="27"/>
      <w:bookmarkEnd w:id="2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Trident Digital Tech Holdings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735" w:type="dxa"/>
        <w:jc w:val="left"/>
        <w:tblInd w:w="0" w:type="dxa"/>
        <w:tblLayout w:type="fixed"/>
        <w:tblCellMar>
          <w:top w:w="0" w:type="dxa"/>
          <w:left w:w="0" w:type="dxa"/>
          <w:bottom w:w="0" w:type="dxa"/>
          <w:right w:w="0" w:type="dxa"/>
        </w:tblCellMar>
      </w:tblPr>
      <w:tblGrid>
        <w:gridCol w:w="530"/>
        <w:gridCol w:w="60"/>
        <w:gridCol w:w="1160"/>
        <w:gridCol w:w="60"/>
        <w:gridCol w:w="935"/>
        <w:gridCol w:w="60"/>
        <w:gridCol w:w="575"/>
        <w:gridCol w:w="60"/>
        <w:gridCol w:w="1100"/>
        <w:gridCol w:w="60"/>
        <w:gridCol w:w="1025"/>
        <w:gridCol w:w="60"/>
        <w:gridCol w:w="696"/>
        <w:gridCol w:w="299"/>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73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Class B 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Preferred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xml:space="preserve">Rights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Unit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27,620.00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8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27,620.00</w:t>
            </w:r>
          </w:p>
        </w:tc>
      </w:tr>
      <w:tr>
        <w:trPr/>
        <w:tc>
          <w:tcPr>
            <w:tcW w:w="668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27,620.00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Pursuant to Rule 416 under the Securities Act of 1933, as amended (or the Securities Act), an indeterminate number of additional securities are registered hereunder that may be issued to prevent dilution in connection with a stock split, stock dividend, recapitalization, or similar event or adjustment. In addition, an indeterminate number of common shares are registered hereunder that may be issued upon conversion of or exchange for any other securities.</w:t>
              <w:br/>
              <w:br/>
              <w:t>There are being registered hereunder such indeterminate number of the securities of each identified class being registered as may be sold from time to time at indeterminate prices, with an initial aggregate public offering price not to exceed $200,000,000.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$200,000,000, less the aggregate dollar amount of all securities previously issued hereunder. Any securities registered hereunder may be sold separately or as part of units, which may consist of any combination of the securities registered hereunder.</w:t>
              <w:br/>
              <w:br/>
              <w:t>Pursuant to Instructions to the Calculation of Filing Fee Tables and Related Disclosure of Form F-3, the table does not specify by each class information as to the proposed maximum aggregate offering price. Any securities registered hereunder may be sold separately or as units with other securities registered hereunder.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83550/000121390026048646/ea0286241-20f_trident.htm" TargetMode="External"/><Relationship Id="rId4" Type="http://schemas.openxmlformats.org/officeDocument/2006/relationships/hyperlink" Target="https://www.sec.gov/Archives/edgar/data/1983550/000121390026038616/ea0284311-6k_trident.htm" TargetMode="External"/><Relationship Id="rId5" Type="http://schemas.openxmlformats.org/officeDocument/2006/relationships/hyperlink" Target="https://www.sec.gov/Archives/edgar/data/1983550/000121390026041134/ea0284930-6k_trident.htm" TargetMode="External"/><Relationship Id="rId6" Type="http://schemas.openxmlformats.org/officeDocument/2006/relationships/hyperlink" Target="https://www.sec.gov/Archives/edgar/data/1983550/000121390026045846/ea0286433-6k_trident.htm" TargetMode="External"/><Relationship Id="rId7" Type="http://schemas.openxmlformats.org/officeDocument/2006/relationships/hyperlink" Target="https://www.sec.gov/Archives/edgar/data/1983550/000121390026051029/ea0288501-6k_trident.htm" TargetMode="External"/><Relationship Id="rId8" Type="http://schemas.openxmlformats.org/officeDocument/2006/relationships/hyperlink" Target="https://www.sec.gov/Archives/edgar/data/1983550/000121390026053541/ea0289652-6k_trident.htm" TargetMode="External"/><Relationship Id="rId9" Type="http://schemas.openxmlformats.org/officeDocument/2006/relationships/hyperlink" Target="https://www.sec.gov/Archives/edgar/data/1983550/000121390026061560/ea0292282-6k_trident.htm" TargetMode="External"/><Relationship Id="rId10" Type="http://schemas.openxmlformats.org/officeDocument/2006/relationships/hyperlink" Target="https://www.sec.gov/Archives/edgar/data/1983550/000121390026069311/ea0294933-6k_trident.htm" TargetMode="External"/><Relationship Id="rId11" Type="http://schemas.openxmlformats.org/officeDocument/2006/relationships/hyperlink" Target="https://www.sec.gov/Archives/edgar/data/1983550/000121390026069461/ea0294747-01.htm" TargetMode="External"/><Relationship Id="rId12" Type="http://schemas.openxmlformats.org/officeDocument/2006/relationships/hyperlink" Target="https://www.sec.gov/Archives/edgar/data/1983550/000121390026073786/ea0296454-01.htm" TargetMode="External"/><Relationship Id="rId13" Type="http://schemas.openxmlformats.org/officeDocument/2006/relationships/hyperlink" Target="https://www.sec.gov/Archives/edgar/data/1983550/000121390026076184/ea0297232-6k_trident.htm" TargetMode="External"/><Relationship Id="rId14" Type="http://schemas.openxmlformats.org/officeDocument/2006/relationships/hyperlink" Target="https://www.sec.gov/Archives/edgar/data/1983550/000121390026073786/ea029645401ex99-4.htm"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23166</Words>
  <Characters>121420</Characters>
  <CharactersWithSpaces>144866</CharactersWithSpaces>
  <Paragraphs>2090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