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677-6k_trident.htm"/>
      <w:bookmarkStart w:id="1" w:name="ksea03076776k_triden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Trident Digital Tech Holdings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Exhibits 99.1 and 99.2 of this report on Form 6-K shall be deemed to be incorporated by reference into the registration statements on Form S-8 (Registration No. </w:t>
      </w:r>
      <w:hyperlink r:id="rId2">
        <w:r>
          <w:rPr>
            <w:rStyle w:val="InternetLink"/>
            <w:rFonts w:ascii="Times New Roman;Times;Serif" w:hAnsi="Times New Roman;Times;Serif"/>
            <w:b w:val="false"/>
            <w:i w:val="false"/>
            <w:caps w:val="false"/>
            <w:smallCaps w:val="false"/>
            <w:sz w:val="20"/>
          </w:rPr>
          <w:t>333-293439</w:t>
        </w:r>
      </w:hyperlink>
      <w:r>
        <w:rPr>
          <w:rFonts w:ascii="Times New Roman;Times;Serif" w:hAnsi="Times New Roman;Times;Serif"/>
          <w:b w:val="false"/>
          <w:i w:val="false"/>
          <w:caps w:val="false"/>
          <w:smallCaps w:val="false"/>
          <w:sz w:val="20"/>
        </w:rPr>
        <w:t xml:space="preserve">; Registration No. </w:t>
      </w:r>
      <w:hyperlink r:id="rId3">
        <w:r>
          <w:rPr>
            <w:rStyle w:val="InternetLink"/>
            <w:rFonts w:ascii="Times New Roman;Times;Serif" w:hAnsi="Times New Roman;Times;Serif"/>
            <w:b w:val="false"/>
            <w:i w:val="false"/>
            <w:caps w:val="false"/>
            <w:smallCaps w:val="false"/>
            <w:sz w:val="20"/>
          </w:rPr>
          <w:t>333-292667</w:t>
        </w:r>
      </w:hyperlink>
      <w:r>
        <w:rPr>
          <w:rFonts w:ascii="Times New Roman;Times;Serif" w:hAnsi="Times New Roman;Times;Serif"/>
          <w:b w:val="false"/>
          <w:i w:val="false"/>
          <w:caps w:val="false"/>
          <w:smallCaps w:val="false"/>
          <w:sz w:val="20"/>
        </w:rPr>
        <w:t xml:space="preserve">) and on </w:t>
      </w:r>
      <w:hyperlink r:id="rId4">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(Registration No. 333-298224) of Trident Digital Tech Holdings Ltd (including any prospectus forming a part of such registration statement) and to be part thereof from the date on which this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1925"/>
        <w:gridCol w:w="320"/>
        <w:gridCol w:w="545"/>
        <w:gridCol w:w="3140"/>
      </w:tblGrid>
      <w:tr>
        <w:trPr/>
        <w:tc>
          <w:tcPr>
            <w:tcW w:w="1925"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Trident Digital Tech Holdings Ltd</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pPr>
            <w:r>
              <w:rPr/>
              <w:t>/s/ Soon Huat Lim</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Soon Huat Lim</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16, 2026</w:t>
            </w:r>
          </w:p>
        </w:tc>
        <w:tc>
          <w:tcPr>
            <w:tcW w:w="32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0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left"/>
              <w:rPr/>
            </w:pPr>
            <w:hyperlink w:anchor="ea030767701ex99-1.htm">
              <w:r>
                <w:rPr>
                  <w:rStyle w:val="InternetLink"/>
                  <w:rFonts w:ascii="Times New Roman;Times;Serif" w:hAnsi="Times New Roman;Times;Serif"/>
                  <w:sz w:val="20"/>
                </w:rPr>
                <w:t>Condensed Consolidated Financial Statements as of June 30, 2026 (unaudited) and December 31, 2025, and for the six months ended June 30, 2026 (unaudited) and 2025 (unaudited)</w:t>
              </w:r>
            </w:hyperlink>
          </w:p>
        </w:tc>
      </w:tr>
      <w:tr>
        <w:trPr/>
        <w:tc>
          <w:tcPr>
            <w:tcW w:w="10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90" w:type="dxa"/>
            <w:tcBorders/>
            <w:shd w:fill="FFFFFF" w:val="clear"/>
            <w:tcMar>
              <w:bottom w:w="0" w:type="dxa"/>
            </w:tcMar>
            <w:vAlign w:val="center"/>
          </w:tcPr>
          <w:p>
            <w:pPr>
              <w:pStyle w:val="TableContents"/>
              <w:bidi w:val="0"/>
              <w:spacing w:before="0" w:after="283"/>
              <w:jc w:val="left"/>
              <w:rPr/>
            </w:pPr>
            <w:hyperlink w:anchor="ea030767701ex99-2.htm">
              <w:r>
                <w:rPr>
                  <w:rStyle w:val="InternetLink"/>
                  <w:rFonts w:ascii="Times New Roman;Times;Serif" w:hAnsi="Times New Roman;Times;Serif"/>
                  <w:sz w:val="20"/>
                </w:rPr>
                <w:t>Management’s Discussion and Analysis of Financial Condition and Results of Operations</w:t>
              </w:r>
            </w:hyperlink>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90" w:type="dxa"/>
            <w:tcBorders/>
            <w:shd w:fill="CCEEFF" w:val="clear"/>
            <w:tcMar>
              <w:bottom w:w="0" w:type="dxa"/>
            </w:tcMar>
            <w:vAlign w:val="center"/>
          </w:tcPr>
          <w:p>
            <w:pPr>
              <w:pStyle w:val="TableContents"/>
              <w:bidi w:val="0"/>
              <w:spacing w:before="0" w:after="283"/>
              <w:jc w:val="left"/>
              <w:rPr/>
            </w:pPr>
            <w:hyperlink w:anchor="ea030767701ex99-3.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20"/>
        <w:jc w:val="right"/>
        <w:rPr>
          <w:rFonts w:ascii="Times New Roman;Times;Serif" w:hAnsi="Times New Roman;Times;Serif"/>
          <w:b/>
          <w:i w:val="false"/>
          <w:caps w:val="false"/>
          <w:smallCaps w:val="false"/>
          <w:sz w:val="20"/>
        </w:rPr>
      </w:pPr>
      <w:bookmarkStart w:id="2" w:name="ea030767701ex99-1.htm"/>
      <w:bookmarkStart w:id="3" w:name="ksea030767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75"/>
        <w:gridCol w:w="60"/>
        <w:gridCol w:w="670"/>
      </w:tblGrid>
      <w:tr>
        <w:trPr/>
        <w:tc>
          <w:tcPr>
            <w:tcW w:w="9475"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both"/>
              <w:rPr/>
            </w:pPr>
            <w:r>
              <w:rPr/>
              <w:t> </w:t>
            </w:r>
          </w:p>
        </w:tc>
        <w:tc>
          <w:tcPr>
            <w:tcW w:w="670"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PAGE(S)</w:t>
            </w:r>
          </w:p>
        </w:tc>
      </w:tr>
      <w:tr>
        <w:trPr/>
        <w:tc>
          <w:tcPr>
            <w:tcW w:w="9475"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UNAUDITED CONDENSED CONSOLIDATED FINANCIAL STATEMENTS FOR THE SIX MONTHS ENDED JUNE 30, 2026 AND 2025</w:t>
            </w:r>
          </w:p>
        </w:tc>
        <w:tc>
          <w:tcPr>
            <w:tcW w:w="60" w:type="dxa"/>
            <w:tcBorders/>
            <w:shd w:fill="CCEEFF" w:val="clear"/>
            <w:vAlign w:val="center"/>
          </w:tcPr>
          <w:p>
            <w:pPr>
              <w:pStyle w:val="TableContents"/>
              <w:bidi w:val="0"/>
              <w:spacing w:before="0" w:after="283"/>
              <w:jc w:val="both"/>
              <w:rPr/>
            </w:pPr>
            <w:r>
              <w:rPr/>
              <w:t> </w:t>
            </w:r>
          </w:p>
        </w:tc>
        <w:tc>
          <w:tcPr>
            <w:tcW w:w="670" w:type="dxa"/>
            <w:tcBorders/>
            <w:shd w:fill="CCEEFF" w:val="clear"/>
            <w:vAlign w:val="center"/>
          </w:tcPr>
          <w:p>
            <w:pPr>
              <w:pStyle w:val="TableContents"/>
              <w:bidi w:val="0"/>
              <w:spacing w:before="0" w:after="283"/>
              <w:ind w:left="0" w:right="0" w:hanging="180"/>
              <w:jc w:val="center"/>
              <w:rPr/>
            </w:pPr>
            <w:r>
              <w:rPr/>
              <w:t> </w:t>
            </w:r>
          </w:p>
        </w:tc>
      </w:tr>
      <w:tr>
        <w:trPr/>
        <w:tc>
          <w:tcPr>
            <w:tcW w:w="9475" w:type="dxa"/>
            <w:tcBorders/>
            <w:shd w:fill="FFFFFF" w:val="clear"/>
            <w:vAlign w:val="center"/>
          </w:tcPr>
          <w:p>
            <w:pPr>
              <w:pStyle w:val="TableContents"/>
              <w:bidi w:val="0"/>
              <w:spacing w:before="0" w:after="283"/>
              <w:jc w:val="both"/>
              <w:rPr/>
            </w:pPr>
            <w:hyperlink w:anchor="a_001">
              <w:r>
                <w:rPr>
                  <w:rStyle w:val="InternetLink"/>
                  <w:rFonts w:ascii="Times New Roman;Times;Serif" w:hAnsi="Times New Roman;Times;Serif"/>
                  <w:sz w:val="20"/>
                </w:rPr>
                <w:t>UNAUDITED CONDENSED CONSOLIDATED BALANCE SHEETS AS OF JUNE 30, 2026 AND DECEMBER 31, 2025</w:t>
              </w:r>
            </w:hyperlink>
          </w:p>
        </w:tc>
        <w:tc>
          <w:tcPr>
            <w:tcW w:w="60"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475"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sz w:val="20"/>
                </w:rPr>
                <w:t>UNAUDITED CONDENSED CONSOLIDATED STATEMENTS OF OPERATIONS AND COMPREHENSIVE LOSS FOR THE SIX MONTHS ENDED JUNE 30, 2026 AND 2025</w:t>
              </w:r>
            </w:hyperlink>
          </w:p>
        </w:tc>
        <w:tc>
          <w:tcPr>
            <w:tcW w:w="60" w:type="dxa"/>
            <w:tcBorders/>
            <w:shd w:fill="CCEEFF" w:val="clear"/>
            <w:vAlign w:val="center"/>
          </w:tcPr>
          <w:p>
            <w:pPr>
              <w:pStyle w:val="TableContents"/>
              <w:bidi w:val="0"/>
              <w:spacing w:before="0" w:after="283"/>
              <w:jc w:val="both"/>
              <w:rPr/>
            </w:pPr>
            <w:r>
              <w:rPr/>
              <w:t> </w:t>
            </w:r>
          </w:p>
        </w:tc>
        <w:tc>
          <w:tcPr>
            <w:tcW w:w="67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475"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sz w:val="20"/>
                </w:rPr>
                <w:t>UNAUDITED CONDENSED CONSOLIDATED STATEMENTS OF CHANGES IN EQUITY/(DEFICIT) FOR THE SIX MONTHS ENDED JUNE 30, 2026 AND 2025</w:t>
              </w:r>
            </w:hyperlink>
          </w:p>
        </w:tc>
        <w:tc>
          <w:tcPr>
            <w:tcW w:w="60"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475"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sz w:val="20"/>
                </w:rPr>
                <w:t>UNAUDITED CONDENSED CONSOLIDATED STATEMENTS OF CASH FLOWS FOR THE SIX MONTHS ENDED JUNE 30, 2026 AND 2025</w:t>
              </w:r>
            </w:hyperlink>
          </w:p>
        </w:tc>
        <w:tc>
          <w:tcPr>
            <w:tcW w:w="60" w:type="dxa"/>
            <w:tcBorders/>
            <w:shd w:fill="CCEEFF" w:val="clear"/>
            <w:vAlign w:val="center"/>
          </w:tcPr>
          <w:p>
            <w:pPr>
              <w:pStyle w:val="TableContents"/>
              <w:bidi w:val="0"/>
              <w:spacing w:before="0" w:after="283"/>
              <w:jc w:val="both"/>
              <w:rPr/>
            </w:pPr>
            <w:r>
              <w:rPr/>
              <w:t> </w:t>
            </w:r>
          </w:p>
        </w:tc>
        <w:tc>
          <w:tcPr>
            <w:tcW w:w="67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475"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sz w:val="20"/>
                </w:rPr>
                <w:t>NOTES TO UNAUDITED CONDENSED CONSOLIDATED FINANCIAL STATEMENTS</w:t>
              </w:r>
            </w:hyperlink>
          </w:p>
        </w:tc>
        <w:tc>
          <w:tcPr>
            <w:tcW w:w="60" w:type="dxa"/>
            <w:tcBorders/>
            <w:shd w:fill="FFFFFF" w:val="clear"/>
            <w:vAlign w:val="center"/>
          </w:tcPr>
          <w:p>
            <w:pPr>
              <w:pStyle w:val="TableContents"/>
              <w:bidi w:val="0"/>
              <w:spacing w:before="0" w:after="283"/>
              <w:jc w:val="both"/>
              <w:rPr/>
            </w:pPr>
            <w:r>
              <w:rPr/>
              <w:t> </w:t>
            </w:r>
          </w:p>
        </w:tc>
        <w:tc>
          <w:tcPr>
            <w:tcW w:w="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4" w:name="a_001"/>
      <w:bookmarkEnd w:id="4"/>
      <w:r>
        <w:rPr>
          <w:rFonts w:ascii="Times New Roman;Times;Serif" w:hAnsi="Times New Roman;Times;Serif"/>
          <w:b/>
          <w:i w:val="false"/>
          <w:caps w:val="false"/>
          <w:smallCaps w:val="false"/>
          <w:sz w:val="20"/>
        </w:rPr>
        <w:t>TRIDENT DIGITAL TECH HOLDINGS LTD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BALANCE SHEETS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U.S. dollars, except for share and per share data, or otherwise noted)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62"/>
        <w:gridCol w:w="60"/>
        <w:gridCol w:w="140"/>
        <w:gridCol w:w="1175"/>
        <w:gridCol w:w="95"/>
        <w:gridCol w:w="60"/>
        <w:gridCol w:w="141"/>
        <w:gridCol w:w="1190"/>
        <w:gridCol w:w="82"/>
      </w:tblGrid>
      <w:tr>
        <w:trPr/>
        <w:tc>
          <w:tcPr>
            <w:tcW w:w="72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b/>
              </w:rPr>
            </w:pPr>
            <w:r>
              <w:rPr>
                <w:b/>
              </w:rPr>
              <w:t xml:space="preserve">As of </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1" w:type="dxa"/>
            <w:gridSpan w:val="2"/>
            <w:tcBorders/>
            <w:vAlign w:val="center"/>
          </w:tcPr>
          <w:p>
            <w:pPr>
              <w:pStyle w:val="TableContents"/>
              <w:bidi w:val="0"/>
              <w:spacing w:before="0" w:after="283"/>
              <w:jc w:val="center"/>
              <w:rPr>
                <w:b/>
              </w:rPr>
            </w:pPr>
            <w:r>
              <w:rPr>
                <w:b/>
              </w:rPr>
              <w:t>As of</w:t>
              <w:br/>
              <w:t>December 31,</w:t>
            </w:r>
          </w:p>
        </w:tc>
        <w:tc>
          <w:tcPr>
            <w:tcW w:w="82" w:type="dxa"/>
            <w:tcBorders/>
            <w:vAlign w:val="center"/>
          </w:tcPr>
          <w:p>
            <w:pPr>
              <w:pStyle w:val="TableContents"/>
              <w:bidi w:val="0"/>
              <w:spacing w:before="0" w:after="283"/>
              <w:jc w:val="center"/>
              <w:rPr/>
            </w:pPr>
            <w:r>
              <w:rPr/>
              <w:t> </w:t>
            </w:r>
          </w:p>
        </w:tc>
      </w:tr>
      <w:tr>
        <w:trPr/>
        <w:tc>
          <w:tcPr>
            <w:tcW w:w="72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jc w:val="center"/>
              <w:rPr/>
            </w:pPr>
            <w:r>
              <w:rPr/>
              <w:t> </w:t>
            </w:r>
          </w:p>
        </w:tc>
      </w:tr>
      <w:tr>
        <w:trPr/>
        <w:tc>
          <w:tcPr>
            <w:tcW w:w="7262"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left"/>
              <w:rPr/>
            </w:pPr>
            <w:r>
              <w:rPr/>
              <w:t> </w:t>
            </w:r>
          </w:p>
        </w:tc>
      </w:tr>
      <w:tr>
        <w:trPr/>
        <w:tc>
          <w:tcPr>
            <w:tcW w:w="7262" w:type="dxa"/>
            <w:tcBorders/>
            <w:vAlign w:val="center"/>
          </w:tcPr>
          <w:p>
            <w:pPr>
              <w:pStyle w:val="TableContents"/>
              <w:bidi w:val="0"/>
              <w:spacing w:before="0" w:after="283"/>
              <w:jc w:val="both"/>
              <w:rPr>
                <w:b/>
              </w:rPr>
            </w:pPr>
            <w:r>
              <w:rPr>
                <w:b/>
              </w:rPr>
              <w:t>Current 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81,217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150,334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Contract cost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198,917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162,604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Amounts due from a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586,020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474,935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483,276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1,341,089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796,214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141,119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176,667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702,585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956,068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3,325,000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Deferred tax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174,202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pPr>
            <w:r>
              <w:rPr/>
              <w:t>88,933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4,342,906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4,546,668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5,683,995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5,342,882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1,135,925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466,599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Current portion of long-term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66,882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1,138,619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972,334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589,656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518,011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46,976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1,510,845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670,818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517,542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527,415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140,362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1,657,399</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Convertible notes payable,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2,175,021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641,363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7,324,541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5,567,797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Amounts due to related parties,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10,018,018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6,052,524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Long-term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34,713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185,043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448,652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10,203,061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6,535,889</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17,527,602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12,103,686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COMMITMENTS AND CONTINGENCIES (note 18)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b/>
              </w:rPr>
            </w:pPr>
            <w:r>
              <w:rPr>
                <w:b/>
              </w:rPr>
              <w:t>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Class A Ordinary Shares (par value $0.0024 per share; 96,000,000 Class A ordinary shares authorized, 208,333 and 208,333 Class A ordinary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500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Class B Ordinary Shares (par value $0.0024 per share; 300,000,000 Class B ordinary shares authorized, 4,638,810 and 3,628,186 Class B ordinary shares issued as of June 30, 2026 and December 31, 2025, respectively; 4,638,810 and 3,628,186 Class B ordinary shares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8,708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262"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38,122,680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30,586,445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262"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(49,793,189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(37,065,891</w:t>
            </w:r>
          </w:p>
        </w:tc>
        <w:tc>
          <w:tcPr>
            <w:tcW w:w="82" w:type="dxa"/>
            <w:tcBorders/>
            <w:shd w:fill="CCEEFF" w:val="clear"/>
            <w:vAlign w:val="center"/>
          </w:tcPr>
          <w:p>
            <w:pPr>
              <w:pStyle w:val="TableContents"/>
              <w:bidi w:val="0"/>
              <w:spacing w:before="0" w:after="283"/>
              <w:ind w:left="0" w:right="0" w:hanging="180"/>
              <w:jc w:val="left"/>
              <w:rPr/>
            </w:pPr>
            <w:r>
              <w:rPr/>
              <w:t>)</w:t>
            </w:r>
          </w:p>
        </w:tc>
      </w:tr>
      <w:tr>
        <w:trPr/>
        <w:tc>
          <w:tcPr>
            <w:tcW w:w="7262" w:type="dxa"/>
            <w:tcBorders/>
            <w:shd w:fill="FFFFFF" w:val="clear"/>
            <w:vAlign w:val="center"/>
          </w:tcPr>
          <w:p>
            <w:pPr>
              <w:pStyle w:val="TableContents"/>
              <w:bidi w:val="0"/>
              <w:spacing w:before="0" w:after="283"/>
              <w:jc w:val="both"/>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(184,732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(290,566</w:t>
            </w:r>
          </w:p>
        </w:tc>
        <w:tc>
          <w:tcPr>
            <w:tcW w:w="82" w:type="dxa"/>
            <w:tcBorders/>
            <w:shd w:fill="FFFFFF" w:val="clear"/>
            <w:vAlign w:val="center"/>
          </w:tcPr>
          <w:p>
            <w:pPr>
              <w:pStyle w:val="TableContents"/>
              <w:bidi w:val="0"/>
              <w:spacing w:before="0" w:after="283"/>
              <w:ind w:left="0" w:right="0" w:hanging="180"/>
              <w:jc w:val="left"/>
              <w:rPr/>
            </w:pPr>
            <w:r>
              <w:rPr/>
              <w:t>)</w:t>
            </w:r>
          </w:p>
        </w:tc>
      </w:tr>
      <w:tr>
        <w:trPr/>
        <w:tc>
          <w:tcPr>
            <w:tcW w:w="7262" w:type="dxa"/>
            <w:tcBorders/>
            <w:shd w:fill="CCEEFF" w:val="clear"/>
            <w:vAlign w:val="center"/>
          </w:tcPr>
          <w:p>
            <w:pPr>
              <w:pStyle w:val="TableContents"/>
              <w:bidi w:val="0"/>
              <w:spacing w:before="0" w:after="283"/>
              <w:jc w:val="both"/>
              <w:rPr>
                <w:b/>
              </w:rPr>
            </w:pPr>
            <w:r>
              <w:rPr>
                <w:b/>
              </w:rPr>
              <w:t>Shareholders’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(11,843,607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(6,760,804</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7262" w:type="dxa"/>
            <w:tcBorders/>
            <w:shd w:fill="FFFFFF" w:val="clear"/>
            <w:vAlign w:val="center"/>
          </w:tcPr>
          <w:p>
            <w:pPr>
              <w:pStyle w:val="TableContents"/>
              <w:bidi w:val="0"/>
              <w:spacing w:before="0" w:after="283"/>
              <w:jc w:val="both"/>
              <w:rPr>
                <w:b/>
              </w:rPr>
            </w:pPr>
            <w:r>
              <w:rPr>
                <w:b/>
              </w:rPr>
              <w:t>TOTAL 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5,683,995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5,342,882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shares and per share information are presented on a retroactive basis to reflect the share consolidation (Note 16).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5" w:name="a_002"/>
      <w:bookmarkEnd w:id="5"/>
      <w:r>
        <w:rPr>
          <w:rFonts w:ascii="Times New Roman;Times;Serif" w:hAnsi="Times New Roman;Times;Serif"/>
          <w:b/>
          <w:i w:val="false"/>
          <w:caps w:val="false"/>
          <w:smallCaps w:val="false"/>
          <w:sz w:val="20"/>
        </w:rPr>
        <w:t>TRIDENT DIGITAL TECH HOLDINGS LTD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STATEMENTS OF OPERATIONS AND COMPREHENSIVE LOSS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U.S. dollars, except for share and per share data, or otherwise noted)</w:t>
      </w:r>
    </w:p>
    <w:p>
      <w:pPr>
        <w:pStyle w:val="TextBody"/>
        <w:bidi w:val="0"/>
        <w:spacing w:before="0" w:after="0"/>
        <w:jc w:val="center"/>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6335"/>
        <w:gridCol w:w="60"/>
        <w:gridCol w:w="140"/>
        <w:gridCol w:w="1175"/>
        <w:gridCol w:w="95"/>
        <w:gridCol w:w="60"/>
        <w:gridCol w:w="140"/>
        <w:gridCol w:w="1175"/>
        <w:gridCol w:w="110"/>
      </w:tblGrid>
      <w:tr>
        <w:trPr/>
        <w:tc>
          <w:tcPr>
            <w:tcW w:w="63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384,471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36,612</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(27,592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(18,969</w:t>
            </w:r>
          </w:p>
        </w:tc>
        <w:tc>
          <w:tcPr>
            <w:tcW w:w="110" w:type="dxa"/>
            <w:tcBorders/>
            <w:shd w:fill="FFFFFF" w:val="clear"/>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17,643</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(215,655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(380,898</w:t>
            </w:r>
          </w:p>
        </w:tc>
        <w:tc>
          <w:tcPr>
            <w:tcW w:w="110" w:type="dxa"/>
            <w:tcBorders/>
            <w:shd w:fill="FFFFFF" w:val="clear"/>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(11,450,168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(10,517,607</w:t>
            </w:r>
          </w:p>
        </w:tc>
        <w:tc>
          <w:tcPr>
            <w:tcW w:w="110" w:type="dxa"/>
            <w:tcBorders/>
            <w:shd w:fill="CCEEFF" w:val="clear"/>
            <w:vAlign w:val="center"/>
          </w:tcPr>
          <w:p>
            <w:pPr>
              <w:pStyle w:val="TableContents"/>
              <w:bidi w:val="0"/>
              <w:spacing w:before="0" w:after="283"/>
              <w:jc w:val="left"/>
              <w:rPr/>
            </w:pPr>
            <w:r>
              <w:rPr/>
              <w:t>)</w:t>
            </w:r>
          </w:p>
        </w:tc>
      </w:tr>
      <w:tr>
        <w:trPr/>
        <w:tc>
          <w:tcPr>
            <w:tcW w:w="6335"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(701,874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(447,369</w:t>
            </w:r>
          </w:p>
        </w:tc>
        <w:tc>
          <w:tcPr>
            <w:tcW w:w="110" w:type="dxa"/>
            <w:tcBorders/>
            <w:shd w:fill="FFFFFF" w:val="clear"/>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both"/>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(12,367,697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(11,345,874</w:t>
            </w:r>
          </w:p>
        </w:tc>
        <w:tc>
          <w:tcPr>
            <w:tcW w:w="110" w:type="dxa"/>
            <w:tcBorders/>
            <w:shd w:fill="CCEEFF" w:val="clear"/>
            <w:vAlign w:val="center"/>
          </w:tcPr>
          <w:p>
            <w:pPr>
              <w:pStyle w:val="TableContents"/>
              <w:bidi w:val="0"/>
              <w:spacing w:before="0" w:after="283"/>
              <w:jc w:val="left"/>
              <w:rPr>
                <w:b/>
              </w:rPr>
            </w:pPr>
            <w:r>
              <w:rPr>
                <w:b/>
              </w:rPr>
              <w:t>)</w:t>
            </w:r>
          </w:p>
        </w:tc>
      </w:tr>
      <w:tr>
        <w:trPr/>
        <w:tc>
          <w:tcPr>
            <w:tcW w:w="63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Other (expenses)/income,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Financial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(2,036,740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(5,442</w:t>
            </w:r>
          </w:p>
        </w:tc>
        <w:tc>
          <w:tcPr>
            <w:tcW w:w="110" w:type="dxa"/>
            <w:tcBorders/>
            <w:shd w:fill="FFFFFF" w:val="clear"/>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both"/>
              <w:rPr/>
            </w:pPr>
            <w:r>
              <w:rPr/>
              <w:t>Gain on fair value 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1,512,221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Share of loss from equity method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(319,017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41,787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62,125</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b/>
              </w:rPr>
            </w:pPr>
            <w:r>
              <w:rPr>
                <w:b/>
              </w:rPr>
              <w:t>Total other (expenses)/income,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(801,749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56,683</w:t>
            </w:r>
          </w:p>
        </w:tc>
        <w:tc>
          <w:tcPr>
            <w:tcW w:w="11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(12,812,567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(11,271,548</w:t>
            </w:r>
          </w:p>
        </w:tc>
        <w:tc>
          <w:tcPr>
            <w:tcW w:w="110" w:type="dxa"/>
            <w:tcBorders/>
            <w:shd w:fill="FFFFFF" w:val="clear"/>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both"/>
              <w:rPr/>
            </w:pPr>
            <w:r>
              <w:rPr/>
              <w:t>Income tax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(12,727,298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(11,271,548</w:t>
            </w:r>
          </w:p>
        </w:tc>
        <w:tc>
          <w:tcPr>
            <w:tcW w:w="110" w:type="dxa"/>
            <w:tcBorders/>
            <w:shd w:fill="FFFFFF" w:val="clear"/>
            <w:vAlign w:val="center"/>
          </w:tcPr>
          <w:p>
            <w:pPr>
              <w:pStyle w:val="TableContents"/>
              <w:bidi w:val="0"/>
              <w:spacing w:before="0" w:after="283"/>
              <w:jc w:val="left"/>
              <w:rPr>
                <w:b/>
              </w:rPr>
            </w:pPr>
            <w:r>
              <w:rPr>
                <w:b/>
              </w:rPr>
              <w:t>)</w:t>
            </w:r>
          </w:p>
        </w:tc>
      </w:tr>
      <w:tr>
        <w:trPr/>
        <w:tc>
          <w:tcPr>
            <w:tcW w:w="63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b/>
              </w:rPr>
            </w:pPr>
            <w:r>
              <w:rPr>
                <w:b/>
              </w:rPr>
              <w:t>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(560,467</w:t>
            </w:r>
          </w:p>
        </w:tc>
        <w:tc>
          <w:tcPr>
            <w:tcW w:w="110" w:type="dxa"/>
            <w:tcBorders/>
            <w:shd w:fill="CCEEFF" w:val="clear"/>
            <w:vAlign w:val="center"/>
          </w:tcPr>
          <w:p>
            <w:pPr>
              <w:pStyle w:val="TableContents"/>
              <w:bidi w:val="0"/>
              <w:spacing w:before="0" w:after="283"/>
              <w:jc w:val="left"/>
              <w:rPr/>
            </w:pPr>
            <w:r>
              <w:rPr/>
              <w:t>)</w:t>
            </w:r>
          </w:p>
        </w:tc>
      </w:tr>
      <w:tr>
        <w:trPr/>
        <w:tc>
          <w:tcPr>
            <w:tcW w:w="6335" w:type="dxa"/>
            <w:tcBorders/>
            <w:shd w:fill="FFFFFF" w:val="clear"/>
            <w:vAlign w:val="center"/>
          </w:tcPr>
          <w:p>
            <w:pPr>
              <w:pStyle w:val="TableContents"/>
              <w:bidi w:val="0"/>
              <w:spacing w:before="0" w:after="283"/>
              <w:jc w:val="both"/>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(12,621,464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(11,832,015</w:t>
            </w:r>
          </w:p>
        </w:tc>
        <w:tc>
          <w:tcPr>
            <w:tcW w:w="110" w:type="dxa"/>
            <w:tcBorders/>
            <w:shd w:fill="FFFFFF" w:val="clear"/>
            <w:vAlign w:val="center"/>
          </w:tcPr>
          <w:p>
            <w:pPr>
              <w:pStyle w:val="TableContents"/>
              <w:bidi w:val="0"/>
              <w:spacing w:before="0" w:after="283"/>
              <w:jc w:val="left"/>
              <w:rPr>
                <w:b/>
              </w:rPr>
            </w:pPr>
            <w:r>
              <w:rPr>
                <w:b/>
              </w:rPr>
              <w:t>)</w:t>
            </w:r>
          </w:p>
        </w:tc>
      </w:tr>
      <w:tr>
        <w:trPr/>
        <w:tc>
          <w:tcPr>
            <w:tcW w:w="63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Weighted average number of Ordinary Shares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4,621,383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2,588,708</w:t>
            </w:r>
          </w:p>
        </w:tc>
        <w:tc>
          <w:tcPr>
            <w:tcW w:w="11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both"/>
              <w:rPr/>
            </w:pPr>
            <w:r>
              <w:rPr/>
              <w:t>Basic and diluted loss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140"/>
        <w:gridCol w:w="942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and per share information are presented on a retroactive basis to reflect the share consolidation (Note 16).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6" w:name="a_003"/>
      <w:bookmarkEnd w:id="6"/>
      <w:r>
        <w:rPr>
          <w:rFonts w:ascii="Times New Roman;Times;Serif" w:hAnsi="Times New Roman;Times;Serif"/>
          <w:b/>
          <w:i w:val="false"/>
          <w:caps w:val="false"/>
          <w:smallCaps w:val="false"/>
          <w:sz w:val="20"/>
        </w:rPr>
        <w:t>TRIDENT DIGITAL TECH HOLDINGS LTD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STATEMENTS OF CHANGES IN EQUITY/(DEFICIT)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U.S. dollars, except for share and per share data, or otherwise noted)</w:t>
      </w:r>
    </w:p>
    <w:p>
      <w:pPr>
        <w:pStyle w:val="TextBody"/>
        <w:bidi w:val="0"/>
        <w:spacing w:before="0" w:after="0"/>
        <w:jc w:val="center"/>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1370"/>
        <w:gridCol w:w="60"/>
        <w:gridCol w:w="60"/>
        <w:gridCol w:w="800"/>
        <w:gridCol w:w="60"/>
        <w:gridCol w:w="60"/>
        <w:gridCol w:w="231"/>
        <w:gridCol w:w="629"/>
        <w:gridCol w:w="60"/>
        <w:gridCol w:w="60"/>
        <w:gridCol w:w="60"/>
        <w:gridCol w:w="980"/>
        <w:gridCol w:w="60"/>
        <w:gridCol w:w="60"/>
        <w:gridCol w:w="146"/>
        <w:gridCol w:w="714"/>
        <w:gridCol w:w="60"/>
        <w:gridCol w:w="60"/>
        <w:gridCol w:w="140"/>
        <w:gridCol w:w="1100"/>
        <w:gridCol w:w="60"/>
        <w:gridCol w:w="60"/>
        <w:gridCol w:w="145"/>
        <w:gridCol w:w="1225"/>
        <w:gridCol w:w="95"/>
        <w:gridCol w:w="60"/>
        <w:gridCol w:w="211"/>
        <w:gridCol w:w="1324"/>
        <w:gridCol w:w="95"/>
        <w:gridCol w:w="60"/>
        <w:gridCol w:w="145"/>
        <w:gridCol w:w="1225"/>
        <w:gridCol w:w="110"/>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br/>
              <w:t>Ordinary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br/>
              <w:t>Ordinary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Shareholders’</w:t>
            </w:r>
          </w:p>
        </w:tc>
        <w:tc>
          <w:tcPr>
            <w:tcW w:w="11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208,333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1,943,185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rPr>
            </w:pPr>
            <w:r>
              <w:rPr>
                <w:b/>
              </w:rPr>
              <w:t>$</w:t>
            </w:r>
          </w:p>
        </w:tc>
        <w:tc>
          <w:tcPr>
            <w:tcW w:w="714" w:type="dxa"/>
            <w:tcBorders/>
            <w:shd w:fill="CCEEFF" w:val="clear"/>
            <w:vAlign w:val="center"/>
          </w:tcPr>
          <w:p>
            <w:pPr>
              <w:pStyle w:val="TableContents"/>
              <w:bidi w:val="0"/>
              <w:spacing w:before="0" w:after="283"/>
              <w:jc w:val="right"/>
              <w:rPr>
                <w:b/>
              </w:rPr>
            </w:pPr>
            <w:r>
              <w:rPr>
                <w:b/>
              </w:rPr>
              <w:t>4,664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14,003,653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(14,306,387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b/>
              </w:rPr>
            </w:pPr>
            <w:r>
              <w:rPr>
                <w:b/>
              </w:rPr>
              <w:t>$</w:t>
            </w:r>
          </w:p>
        </w:tc>
        <w:tc>
          <w:tcPr>
            <w:tcW w:w="1324" w:type="dxa"/>
            <w:tcBorders/>
            <w:shd w:fill="CCEEFF" w:val="clear"/>
            <w:vAlign w:val="center"/>
          </w:tcPr>
          <w:p>
            <w:pPr>
              <w:pStyle w:val="TableContents"/>
              <w:bidi w:val="0"/>
              <w:spacing w:before="0" w:after="283"/>
              <w:jc w:val="right"/>
              <w:rPr>
                <w:b/>
              </w:rPr>
            </w:pPr>
            <w:r>
              <w:rPr>
                <w:b/>
              </w:rPr>
              <w:t>(83,492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(381,062</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(11,271,548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(11,271,548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Nonemployee share-based payment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572,917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6,855,110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6,856,485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FFFFFF" w:val="clear"/>
            <w:tcMar>
              <w:bottom w:w="28" w:type="dxa"/>
            </w:tcMar>
            <w:vAlign w:val="center"/>
          </w:tcPr>
          <w:p>
            <w:pPr>
              <w:pStyle w:val="TableContents"/>
              <w:bidi w:val="0"/>
              <w:spacing w:before="0" w:after="283"/>
              <w:jc w:val="right"/>
              <w:rPr/>
            </w:pPr>
            <w:r>
              <w:rPr/>
              <w:t>(560,467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pPr>
            <w:r>
              <w:rPr/>
              <w:t>(560,467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2,516,102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 xml:space="preserve">6,039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 xml:space="preserve">20,858,763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(25,577,935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(643,959)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(5,356,592</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3,628,186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30,586,445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(37,065,891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2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(290,566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(6,760,804</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(12,727,298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(12,727,298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Employee and nonemployee share-based payment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882,339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2,118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7,382,441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7,384,559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pPr>
            <w:r>
              <w:rPr/>
              <w:t>Conversion of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154,102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105,834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105,834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shd w:fill="FFFFFF" w:val="clear"/>
            <w:vAlign w:val="center"/>
          </w:tcPr>
          <w:p>
            <w:pPr>
              <w:pStyle w:val="TableContents"/>
              <w:bidi w:val="0"/>
              <w:spacing w:before="0" w:after="283"/>
              <w:jc w:val="left"/>
              <w:rPr>
                <w:b/>
              </w:rPr>
            </w:pPr>
            <w:r>
              <w:rPr>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4,638,810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38,122,680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(49,793,189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(184,732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(11,843,607</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25"/>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and per share information are presented on a retroactive basis to reflect the share consolidation (Note 16).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7" w:name="a_004"/>
      <w:bookmarkEnd w:id="7"/>
      <w:r>
        <w:rPr>
          <w:rFonts w:ascii="Times New Roman;Times;Serif" w:hAnsi="Times New Roman;Times;Serif"/>
          <w:b/>
          <w:i w:val="false"/>
          <w:caps w:val="false"/>
          <w:smallCaps w:val="false"/>
          <w:sz w:val="20"/>
        </w:rPr>
        <w:t>TRIDENT DIGITAL TECH HOLDINGS LTD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UNAUDITED CONDENSED CONSOLIDATED STATEMENTS OF CASH FLOWS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U.S. dollars, except for share and per share data, or otherwise noted)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0"/>
        <w:gridCol w:w="60"/>
        <w:gridCol w:w="140"/>
        <w:gridCol w:w="1055"/>
        <w:gridCol w:w="95"/>
        <w:gridCol w:w="60"/>
        <w:gridCol w:w="140"/>
        <w:gridCol w:w="1055"/>
        <w:gridCol w:w="110"/>
      </w:tblGrid>
      <w:tr>
        <w:trPr/>
        <w:tc>
          <w:tcPr>
            <w:tcW w:w="7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840" w:type="dxa"/>
            <w:gridSpan w:val="5"/>
            <w:tcBorders/>
            <w:vAlign w:val="center"/>
          </w:tcPr>
          <w:p>
            <w:pPr>
              <w:pStyle w:val="TableContents"/>
              <w:bidi w:val="0"/>
              <w:spacing w:before="0" w:after="283"/>
              <w:jc w:val="both"/>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(4,883,016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(3,649,470</w:t>
            </w:r>
          </w:p>
        </w:tc>
        <w:tc>
          <w:tcPr>
            <w:tcW w:w="110" w:type="dxa"/>
            <w:tcBorders/>
            <w:shd w:fill="CCEEFF" w:val="clear"/>
            <w:vAlign w:val="center"/>
          </w:tcPr>
          <w:p>
            <w:pPr>
              <w:pStyle w:val="TableContents"/>
              <w:bidi w:val="0"/>
              <w:spacing w:before="0" w:after="283"/>
              <w:jc w:val="left"/>
              <w:rPr>
                <w:b/>
              </w:rPr>
            </w:pPr>
            <w:r>
              <w:rPr>
                <w:b/>
              </w:rPr>
              <w:t>)</w:t>
            </w:r>
          </w:p>
        </w:tc>
      </w:tr>
      <w:tr>
        <w:trPr/>
        <w:tc>
          <w:tcPr>
            <w:tcW w:w="7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(7,925</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both"/>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(7,925</w:t>
            </w:r>
          </w:p>
        </w:tc>
        <w:tc>
          <w:tcPr>
            <w:tcW w:w="110" w:type="dxa"/>
            <w:tcBorders/>
            <w:shd w:fill="CCEEFF" w:val="clear"/>
            <w:vAlign w:val="center"/>
          </w:tcPr>
          <w:p>
            <w:pPr>
              <w:pStyle w:val="TableContents"/>
              <w:bidi w:val="0"/>
              <w:spacing w:before="0" w:after="283"/>
              <w:jc w:val="left"/>
              <w:rPr>
                <w:b/>
              </w:rPr>
            </w:pPr>
            <w:r>
              <w:rPr>
                <w:b/>
              </w:rPr>
              <w:t>)</w:t>
            </w:r>
          </w:p>
        </w:tc>
      </w:tr>
      <w:tr>
        <w:trPr/>
        <w:tc>
          <w:tcPr>
            <w:tcW w:w="7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Proceeds from short-term bank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680,998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Repayments of long-term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(30,518</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both"/>
              <w:rPr/>
            </w:pPr>
            <w:r>
              <w:rPr/>
              <w:t>Loans from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6,583,816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4,237,928</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Repayment of loans from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(2,521,852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(10,602</w:t>
            </w:r>
          </w:p>
        </w:tc>
        <w:tc>
          <w:tcPr>
            <w:tcW w:w="110" w:type="dxa"/>
            <w:tcBorders/>
            <w:shd w:fill="CCEEFF" w:val="clear"/>
            <w:vAlign w:val="center"/>
          </w:tcPr>
          <w:p>
            <w:pPr>
              <w:pStyle w:val="TableContents"/>
              <w:bidi w:val="0"/>
              <w:spacing w:before="0" w:after="283"/>
              <w:jc w:val="left"/>
              <w:rPr/>
            </w:pPr>
            <w:r>
              <w:rPr/>
              <w:t>)</w:t>
            </w:r>
          </w:p>
        </w:tc>
      </w:tr>
      <w:tr>
        <w:trPr/>
        <w:tc>
          <w:tcPr>
            <w:tcW w:w="7490" w:type="dxa"/>
            <w:tcBorders/>
            <w:shd w:fill="FFFFFF" w:val="clear"/>
            <w:vAlign w:val="center"/>
          </w:tcPr>
          <w:p>
            <w:pPr>
              <w:pStyle w:val="TableContents"/>
              <w:bidi w:val="0"/>
              <w:spacing w:before="0" w:after="283"/>
              <w:jc w:val="both"/>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4,709,722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4,196,808</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105,887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(548,908</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Net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(9,495</w:t>
            </w:r>
          </w:p>
        </w:tc>
        <w:tc>
          <w:tcPr>
            <w:tcW w:w="110" w:type="dxa"/>
            <w:tcBorders/>
            <w:shd w:fill="FFFFFF" w:val="clear"/>
            <w:vAlign w:val="center"/>
          </w:tcPr>
          <w:p>
            <w:pPr>
              <w:pStyle w:val="TableContents"/>
              <w:bidi w:val="0"/>
              <w:spacing w:before="0" w:after="283"/>
              <w:jc w:val="left"/>
              <w:rPr/>
            </w:pPr>
            <w:r>
              <w:rPr/>
              <w:t>)</w:t>
            </w:r>
          </w:p>
        </w:tc>
      </w:tr>
      <w:tr>
        <w:trPr/>
        <w:tc>
          <w:tcPr>
            <w:tcW w:w="7490" w:type="dxa"/>
            <w:tcBorders/>
            <w:shd w:fill="CCEEFF" w:val="clear"/>
            <w:vAlign w:val="center"/>
          </w:tcPr>
          <w:p>
            <w:pPr>
              <w:pStyle w:val="TableContents"/>
              <w:bidi w:val="0"/>
              <w:spacing w:before="0" w:after="283"/>
              <w:jc w:val="both"/>
              <w:rPr/>
            </w:pPr>
            <w:r>
              <w:rPr/>
              <w:t>Cash, at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150,334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194,113</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b/>
              </w:rPr>
            </w:pPr>
            <w:r>
              <w:rPr>
                <w:b/>
              </w:rPr>
              <w:t>Cash, at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81,217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184,618</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Interest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3,696</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b/>
              </w:rPr>
            </w:pPr>
            <w:r>
              <w:rPr>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Share-based compensation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7,384,559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6,856,485</w:t>
            </w:r>
          </w:p>
        </w:tc>
        <w:tc>
          <w:tcPr>
            <w:tcW w:w="11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both"/>
              <w:rPr/>
            </w:pPr>
            <w:r>
              <w:rPr/>
              <w:t>Conversion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154,102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both"/>
              <w:rPr/>
            </w:pPr>
            <w:r>
              <w:rPr/>
              <w:t>Share of loss from equity method investment (note 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319,017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a_005"/>
      <w:bookmarkEnd w:id="8"/>
      <w:r>
        <w:rPr>
          <w:rFonts w:ascii="Times New Roman;Times;Serif" w:hAnsi="Times New Roman;Times;Serif"/>
          <w:b/>
          <w:i w:val="false"/>
          <w:caps w:val="false"/>
          <w:smallCaps w:val="false"/>
          <w:sz w:val="20"/>
        </w:rPr>
        <w:t>TRIDENT DIGITAL TECH HOLDINGS LTD</w:t>
        <w:br/>
        <w:t>NOTES TO UNAUDITED CONDENSED CONSOLIDATED FINANCIAL STATEMENTS</w:t>
        <w:br/>
      </w:r>
      <w:r>
        <w:rPr>
          <w:rFonts w:ascii="Times New Roman;Times;Serif" w:hAnsi="Times New Roman;Times;Serif"/>
          <w:b w:val="false"/>
          <w:i/>
          <w:caps w:val="false"/>
          <w:smallCaps w:val="false"/>
          <w:sz w:val="20"/>
        </w:rPr>
        <w:t>(In U.S. dollars, except for share and per share data, or otherwise noted)</w:t>
      </w:r>
    </w:p>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15"/>
        <w:gridCol w:w="5510"/>
      </w:tblGrid>
      <w:tr>
        <w:trPr/>
        <w:tc>
          <w:tcPr>
            <w:tcW w:w="215" w:type="dxa"/>
            <w:tcBorders/>
            <w:vAlign w:val="center"/>
          </w:tcPr>
          <w:p>
            <w:pPr>
              <w:pStyle w:val="TableContents"/>
              <w:bidi w:val="0"/>
              <w:spacing w:before="0" w:after="283"/>
              <w:jc w:val="left"/>
              <w:rPr>
                <w:b/>
              </w:rPr>
            </w:pPr>
            <w:r>
              <w:rPr>
                <w:b/>
              </w:rPr>
              <w:t>1.</w:t>
            </w:r>
          </w:p>
        </w:tc>
        <w:tc>
          <w:tcPr>
            <w:tcW w:w="5510" w:type="dxa"/>
            <w:tcBorders/>
            <w:vAlign w:val="center"/>
          </w:tcPr>
          <w:p>
            <w:pPr>
              <w:pStyle w:val="TableContents"/>
              <w:bidi w:val="0"/>
              <w:spacing w:before="0" w:after="283"/>
              <w:jc w:val="both"/>
              <w:rPr>
                <w:b/>
              </w:rPr>
            </w:pPr>
            <w:r>
              <w:rPr>
                <w:b/>
              </w:rPr>
              <w:t>ORGANIZATION AND PRINCIPAL ACTIVITIES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incorporated under the law of Cayman Islands as an exempted company with limited liability on June 12, 2023.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Zone Technologies Pte. Ltd. (“QZT”), was incorporated on December 3, 2014 in Singapore. It is engaged in providing branding &amp; marketing consulting service, IT customization development service and CRM product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Pte. Ltd. (“Trident”) was incorporated on May 10, 2022 in Singapore. It is mainly engaged in e-commerce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(DRC) Africa Sas (“Trident DRC”) was incorporated on May 27, 2025 in Kinshasa, DRC. It is a simplified joint-stock company providing digital-identity solutions, biometric identification, secure data-management services and electronic verification systems. As of June 30, 2026, Trident DRC has no substantial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11, 2024, the Group closed the initial public offering of 1,800,000 American Depositary Shares (“ADSs”) at a price to the public of $5.00 per ADS, representing 14,400,000 Class B ordinary shares for a total offering size of $9.0 million. The net proceeds raised from the initial public offering were approximately $5.6 million. Trident’s ADSs began trading on the Nasdaq Capital Market on September 10, 2024, under the symbol “TDTH.”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an initial public offering (“IPO”) of its equity securities, the Company undertook a reorganization (the “Reorganization”), which involved in following steps: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 2023, the Company acquired 100% of the equity interests in QZT from its original shareholder;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2023, QZT acquired 100% of the equity interests in Trident from its original shareholder;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July 4, 2023, the Company became the ultimate holding company of QZT and Trident, which were all controlled by the same shareholder before and after the 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the Company and its subsidiaries has been accounted for at historical cost and prepared on the basis as if the Reorganization had become effective as of the beginning of the first period presented in the accompanying unaudited condensed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15"/>
        <w:gridCol w:w="6380"/>
      </w:tblGrid>
      <w:tr>
        <w:trPr/>
        <w:tc>
          <w:tcPr>
            <w:tcW w:w="215" w:type="dxa"/>
            <w:tcBorders/>
            <w:vAlign w:val="center"/>
          </w:tcPr>
          <w:p>
            <w:pPr>
              <w:pStyle w:val="TableContents"/>
              <w:bidi w:val="0"/>
              <w:spacing w:before="0" w:after="283"/>
              <w:jc w:val="left"/>
              <w:rPr>
                <w:b/>
              </w:rPr>
            </w:pPr>
            <w:r>
              <w:rPr>
                <w:b/>
              </w:rPr>
              <w:t>2.</w:t>
            </w:r>
          </w:p>
        </w:tc>
        <w:tc>
          <w:tcPr>
            <w:tcW w:w="6380"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360" w:right="0" w:hanging="36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305"/>
        <w:gridCol w:w="5135"/>
      </w:tblGrid>
      <w:tr>
        <w:trPr/>
        <w:tc>
          <w:tcPr>
            <w:tcW w:w="305" w:type="dxa"/>
            <w:tcBorders/>
            <w:vAlign w:val="center"/>
          </w:tcPr>
          <w:p>
            <w:pPr>
              <w:pStyle w:val="TableContents"/>
              <w:bidi w:val="0"/>
              <w:spacing w:before="0" w:after="283"/>
              <w:jc w:val="left"/>
              <w:rPr>
                <w:b/>
                <w:i/>
              </w:rPr>
            </w:pPr>
            <w:r>
              <w:rPr>
                <w:b/>
                <w:i/>
              </w:rPr>
              <w:t>(a)</w:t>
            </w:r>
          </w:p>
        </w:tc>
        <w:tc>
          <w:tcPr>
            <w:tcW w:w="5135" w:type="dxa"/>
            <w:tcBorders/>
            <w:vAlign w:val="center"/>
          </w:tcPr>
          <w:p>
            <w:pPr>
              <w:pStyle w:val="TableContents"/>
              <w:bidi w:val="0"/>
              <w:spacing w:before="0" w:after="283"/>
              <w:jc w:val="both"/>
              <w:rPr>
                <w:b/>
                <w:i/>
              </w:rPr>
            </w:pPr>
            <w:r>
              <w:rPr>
                <w:b/>
                <w:i/>
              </w:rPr>
              <w:t>Basis of presentation and principles of consolidation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are prepared in accordance with accounting principles generally accepted in the United States of America (“U.S. GAAP”) and pursuant to the rules and regulations of the Securities and Exchange Commission (the “SEC”). The accompanying unaudited condensed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annual report on form 20-F for the fiscal years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2025. The results of operations for the six months ended June 30, 2026 are not necessarily indicative of the results for the full year.</w:t>
      </w:r>
    </w:p>
    <w:p>
      <w:pPr>
        <w:pStyle w:val="TextBody"/>
        <w:bidi w:val="0"/>
        <w:spacing w:before="0" w:after="0"/>
        <w:ind w:left="360" w:right="0" w:hanging="36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305"/>
        <w:gridCol w:w="1595"/>
      </w:tblGrid>
      <w:tr>
        <w:trPr/>
        <w:tc>
          <w:tcPr>
            <w:tcW w:w="305" w:type="dxa"/>
            <w:tcBorders/>
            <w:vAlign w:val="center"/>
          </w:tcPr>
          <w:p>
            <w:pPr>
              <w:pStyle w:val="TableContents"/>
              <w:bidi w:val="0"/>
              <w:spacing w:before="0" w:after="283"/>
              <w:jc w:val="left"/>
              <w:rPr>
                <w:b/>
                <w:i/>
              </w:rPr>
            </w:pPr>
            <w:r>
              <w:rPr>
                <w:b/>
                <w:i/>
              </w:rPr>
              <w:t>(b)</w:t>
            </w:r>
          </w:p>
        </w:tc>
        <w:tc>
          <w:tcPr>
            <w:tcW w:w="1595" w:type="dxa"/>
            <w:tcBorders/>
            <w:vAlign w:val="center"/>
          </w:tcPr>
          <w:p>
            <w:pPr>
              <w:pStyle w:val="TableContents"/>
              <w:bidi w:val="0"/>
              <w:spacing w:before="0" w:after="283"/>
              <w:jc w:val="both"/>
              <w:rPr>
                <w:b/>
                <w:i/>
              </w:rPr>
            </w:pPr>
            <w:r>
              <w:rPr>
                <w:b/>
                <w:i/>
              </w:rPr>
              <w:t>Use of estimates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unaudited condensed consolidated financial statements and accompanying notes. Accounting estimates reflected in the Group’s unaudited condensed consolidated financial statements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unaudited condensed consolidated financial statements.</w:t>
      </w:r>
    </w:p>
    <w:p>
      <w:pPr>
        <w:pStyle w:val="TextBody"/>
        <w:bidi w:val="0"/>
        <w:spacing w:before="0" w:after="0"/>
        <w:ind w:left="360" w:right="0" w:hanging="36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90"/>
        <w:gridCol w:w="1250"/>
      </w:tblGrid>
      <w:tr>
        <w:trPr/>
        <w:tc>
          <w:tcPr>
            <w:tcW w:w="290" w:type="dxa"/>
            <w:tcBorders/>
            <w:vAlign w:val="center"/>
          </w:tcPr>
          <w:p>
            <w:pPr>
              <w:pStyle w:val="TableContents"/>
              <w:bidi w:val="0"/>
              <w:spacing w:before="0" w:after="283"/>
              <w:jc w:val="left"/>
              <w:rPr>
                <w:b/>
                <w:i/>
              </w:rPr>
            </w:pPr>
            <w:r>
              <w:rPr>
                <w:b/>
                <w:i/>
              </w:rPr>
              <w:t>(c)</w:t>
            </w:r>
          </w:p>
        </w:tc>
        <w:tc>
          <w:tcPr>
            <w:tcW w:w="1250" w:type="dxa"/>
            <w:tcBorders/>
            <w:vAlign w:val="center"/>
          </w:tcPr>
          <w:p>
            <w:pPr>
              <w:pStyle w:val="TableContents"/>
              <w:bidi w:val="0"/>
              <w:spacing w:before="0" w:after="283"/>
              <w:jc w:val="both"/>
              <w:rPr>
                <w:b/>
                <w:i/>
              </w:rPr>
            </w:pPr>
            <w:r>
              <w:rPr>
                <w:b/>
                <w:i/>
              </w:rPr>
              <w:t>Credit losses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accounts receivable, amounts due from related parties, and deposits, other receivables which are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from the debtors. The Group also applies current situation adjustment to provide specific provisions for allowance when facts and circumstances indicate that the receivable is unlikely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are included in general and administrative expenses in the consolidated statements of operations and comprehensive loss. After all attempts to collect a receivable have failed, the receivable is written off against the allowance. </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283"/>
              <w:jc w:val="left"/>
              <w:rPr>
                <w:b/>
                <w:i/>
              </w:rPr>
            </w:pPr>
            <w:r>
              <w:rPr>
                <w:b/>
                <w:i/>
              </w:rPr>
              <w:t>(d)</w:t>
            </w:r>
          </w:p>
        </w:tc>
        <w:tc>
          <w:tcPr>
            <w:tcW w:w="2405" w:type="dxa"/>
            <w:tcBorders/>
            <w:vAlign w:val="center"/>
          </w:tcPr>
          <w:p>
            <w:pPr>
              <w:pStyle w:val="TableContents"/>
              <w:bidi w:val="0"/>
              <w:spacing w:before="0" w:after="283"/>
              <w:jc w:val="both"/>
              <w:rPr>
                <w:b/>
                <w:i/>
              </w:rPr>
            </w:pPr>
            <w:r>
              <w:rPr>
                <w:b/>
                <w:i/>
              </w:rPr>
              <w:t>Accounts receivable, net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net is stated at the original amount less an allowance for expected credit losses. Accounts receivable are recognized in the period when the Group has provided services to its customers and when its right to consideration is unconditional. Allowance for expected credit losses were $7,441 and $7,489 as of June 30, 2026 and December 31,2025, respectively. </w:t>
      </w:r>
    </w:p>
    <w:p>
      <w:pPr>
        <w:pStyle w:val="TextBody"/>
        <w:bidi w:val="0"/>
        <w:spacing w:before="0" w:after="0"/>
        <w:ind w:left="0" w:right="0" w:firstLine="36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b/>
                <w:i/>
              </w:rPr>
            </w:pPr>
            <w:r>
              <w:rPr>
                <w:b/>
                <w:i/>
              </w:rPr>
              <w:t>(e)</w:t>
            </w:r>
          </w:p>
        </w:tc>
        <w:tc>
          <w:tcPr>
            <w:tcW w:w="2660" w:type="dxa"/>
            <w:tcBorders/>
            <w:vAlign w:val="center"/>
          </w:tcPr>
          <w:p>
            <w:pPr>
              <w:pStyle w:val="TableContents"/>
              <w:bidi w:val="0"/>
              <w:spacing w:before="0" w:after="283"/>
              <w:jc w:val="both"/>
              <w:rPr>
                <w:b/>
                <w:i/>
              </w:rPr>
            </w:pPr>
            <w:r>
              <w:rPr>
                <w:b/>
                <w:i/>
              </w:rPr>
              <w:t>Share-based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share-based compensation granted to non-employees and employees in accordance with ASC 718, Compensation—Stock Compensation, as amended by ASU 2018-07. In accordance with ASC 718, the Group determines whether an award should be classified and accounted for as a liability award or equity award. All the Group’s grants of share-based awards were classified as equity awards and are measured at fair value on the grant date, which is generally based on the closing market price of the Company’s common stock on that date. The grant-date fair value is recognized as expense over the requisite service period on a straight-line basis, which varies by award and ranges from immediate vesting to ten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awards that are issued upfront but subject to a requisite service period, the Group recognizes the grant-date fair value of the awards as compensation expense on a straight-line basis over the requisite service period as the related services are rendered, with a corresponding credit to additional paid-in capital.</w:t>
      </w:r>
    </w:p>
    <w:p>
      <w:pPr>
        <w:pStyle w:val="TextBody"/>
        <w:bidi w:val="0"/>
        <w:spacing w:before="0" w:after="0"/>
        <w:ind w:left="360" w:right="0" w:hanging="36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60"/>
        <w:gridCol w:w="2165"/>
      </w:tblGrid>
      <w:tr>
        <w:trPr/>
        <w:tc>
          <w:tcPr>
            <w:tcW w:w="260" w:type="dxa"/>
            <w:tcBorders/>
            <w:vAlign w:val="center"/>
          </w:tcPr>
          <w:p>
            <w:pPr>
              <w:pStyle w:val="TableContents"/>
              <w:bidi w:val="0"/>
              <w:spacing w:before="0" w:after="283"/>
              <w:jc w:val="left"/>
              <w:rPr>
                <w:b/>
                <w:i/>
              </w:rPr>
            </w:pPr>
            <w:r>
              <w:rPr>
                <w:b/>
                <w:i/>
              </w:rPr>
              <w:t>(f)</w:t>
            </w:r>
          </w:p>
        </w:tc>
        <w:tc>
          <w:tcPr>
            <w:tcW w:w="2165" w:type="dxa"/>
            <w:tcBorders/>
            <w:vAlign w:val="center"/>
          </w:tcPr>
          <w:p>
            <w:pPr>
              <w:pStyle w:val="TableContents"/>
              <w:bidi w:val="0"/>
              <w:spacing w:before="0" w:after="283"/>
              <w:jc w:val="both"/>
              <w:rPr>
                <w:b/>
                <w:i/>
              </w:rPr>
            </w:pPr>
            <w:r>
              <w:rPr>
                <w:b/>
                <w:i/>
              </w:rPr>
              <w:t>Long-term investment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 is the Group’s equity investment in privately held companies accounted for equity method.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Equity investment</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accounts for its investments in common stock or in-substance common stock in entities in which it can exercise significant influence but does not own a majority equity interest or control using the equity method in accordance with ASC 323-10, </w:t>
      </w:r>
      <w:r>
        <w:rPr>
          <w:rFonts w:ascii="Times New Roman;Times;Serif" w:hAnsi="Times New Roman;Times;Serif"/>
          <w:b w:val="false"/>
          <w:i/>
          <w:caps w:val="false"/>
          <w:smallCaps w:val="false"/>
          <w:sz w:val="20"/>
        </w:rPr>
        <w:t>Investments-Equity Method and Joint Ventures: Overall</w:t>
      </w:r>
      <w:r>
        <w:rPr>
          <w:rFonts w:ascii="Times New Roman;Times;Serif" w:hAnsi="Times New Roman;Times;Serif"/>
          <w:b w:val="false"/>
          <w:i w:val="false"/>
          <w:caps w:val="false"/>
          <w:smallCaps w:val="false"/>
          <w:sz w:val="20"/>
        </w:rPr>
        <w:t xml:space="preserve"> unless the Group elects to account for the investment using the fair value option in accordance with ASC 825-10, Financial Instruments: Fair Value Option (“ASC 825”).</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 method investments, the Group initially recognizes the investment at cost and subsequently adjusts the carrying amount for the Group’s share of the investee’s earnings or losses, dividends received, and other changes in the investee’s equity. The Group’s share of the investee’s earnings or losses is recognized in earnings in the consolidated statements of comprehensive loss. Dividends received from equity method investees are recorded as a reduction of the carrying amount of the investment. The Group evaluates equity method investments for impairment whenever events or changes in circumstances indicate that the carrying amount may not be recoverable, and recognizes an impairment loss in earnings when the decline in value is determined to be other than temporary.</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the fair value option when it initially recognizes an equity method investment as the Group determined the fair value of this investment better represents the value of the underlying assets. Such election is irrevocable and can be applied to financial assets on an individual basis at initial recognition. Any changes in fair value are recognized in fair value change of financial instruments in the consolidated statements of comprehensive loss.</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 with readily determinable fair value, except for those accounted for under the equity method, those that result in consolidation of the investee and certain other investments, are measured at fair value, and any changes in fair value are recognized in earnings. For equity securities without readily determinable fair value and do not qualify for the existing practical expedient in ASC 820, Fair Value Measurements and Disclosures (“ASC 820”) to estimate fair value using the net asset value per share (or its equivalent) of the investment, the Group elected to use the measurement alternative to measure those investments at cost, less any impairment, plus or minus changes resulting from observable price changes in orderly transactions for identical or similar investments of the same issuer, if any.</w:t>
      </w:r>
    </w:p>
    <w:p>
      <w:pPr>
        <w:pStyle w:val="TextBody"/>
        <w:bidi w:val="0"/>
        <w:spacing w:before="0" w:after="0"/>
        <w:ind w:left="0" w:right="0" w:firstLine="357"/>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 investment measured at fair value with changes in fair value recorded in earnings, the Group does not assess whether those securities are impaired. For those equity investment that the Group elects to use the measurement alternative, the Group makes a qualitative assessment of whether the investment is impaired at each reporting date. If a qualitative assessment indicates that the investment is impaired, the entity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pStyle w:val="TextBody"/>
        <w:bidi w:val="0"/>
        <w:spacing w:before="0" w:after="0"/>
        <w:ind w:left="360" w:right="0" w:hanging="36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305"/>
        <w:gridCol w:w="1730"/>
      </w:tblGrid>
      <w:tr>
        <w:trPr/>
        <w:tc>
          <w:tcPr>
            <w:tcW w:w="305" w:type="dxa"/>
            <w:tcBorders/>
            <w:vAlign w:val="center"/>
          </w:tcPr>
          <w:p>
            <w:pPr>
              <w:pStyle w:val="TableContents"/>
              <w:bidi w:val="0"/>
              <w:spacing w:before="0" w:after="283"/>
              <w:jc w:val="left"/>
              <w:rPr>
                <w:b/>
                <w:i/>
              </w:rPr>
            </w:pPr>
            <w:r>
              <w:rPr>
                <w:b/>
                <w:i/>
              </w:rPr>
              <w:t>(g)</w:t>
            </w:r>
          </w:p>
        </w:tc>
        <w:tc>
          <w:tcPr>
            <w:tcW w:w="1730" w:type="dxa"/>
            <w:tcBorders/>
            <w:vAlign w:val="center"/>
          </w:tcPr>
          <w:p>
            <w:pPr>
              <w:pStyle w:val="TableContents"/>
              <w:bidi w:val="0"/>
              <w:spacing w:before="0" w:after="283"/>
              <w:jc w:val="both"/>
              <w:rPr>
                <w:b/>
                <w:i/>
              </w:rPr>
            </w:pPr>
            <w:r>
              <w:rPr>
                <w:b/>
                <w:i/>
              </w:rPr>
              <w:t>Convertible notes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its convertible promissory notes in accordance with ASU 2020-06, Debt—Debt with Conversion and Other Options (Subtopic 470-20) and Derivatives and Hedging (Subtopic 815-40). Under this guidance, the Group no longer separates the liability and equity components of convertible instruments that do not require bifurcation under ASC 815. Instead, the entire convertible instrument is accounted for as a single liability, unless the fair value option under ASC 825-10 is elected or an embedded conversion feature requires separate accounting as a derivative.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first evaluates whether to elect the fair value option under ASC 825-10. If the fair value option is not elected, the Group assesses whether the embedded conversion feature requires bifurcation under ASC 815. If bifurcation is not required and the instrument is not issued with a substantial premium, the convertible debt is accounted for as a single liability instrument under the traditional convertible debt model. Any debt discount or premium is amortized over the expected term of the instrument using the effective interest method and recognized as additional non-cash interest expenses.</w:t>
      </w:r>
    </w:p>
    <w:p>
      <w:pPr>
        <w:pStyle w:val="TextBody"/>
        <w:bidi w:val="0"/>
        <w:spacing w:before="0" w:after="0"/>
        <w:ind w:left="360" w:right="0" w:hanging="36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20"/>
        <w:gridCol w:w="1790"/>
      </w:tblGrid>
      <w:tr>
        <w:trPr/>
        <w:tc>
          <w:tcPr>
            <w:tcW w:w="320" w:type="dxa"/>
            <w:tcBorders/>
            <w:vAlign w:val="center"/>
          </w:tcPr>
          <w:p>
            <w:pPr>
              <w:pStyle w:val="TableContents"/>
              <w:bidi w:val="0"/>
              <w:spacing w:before="0" w:after="283"/>
              <w:jc w:val="left"/>
              <w:rPr>
                <w:b/>
                <w:i/>
              </w:rPr>
            </w:pPr>
            <w:r>
              <w:rPr>
                <w:b/>
                <w:i/>
              </w:rPr>
              <w:t>(h)</w:t>
            </w:r>
          </w:p>
        </w:tc>
        <w:tc>
          <w:tcPr>
            <w:tcW w:w="1790" w:type="dxa"/>
            <w:tcBorders/>
            <w:vAlign w:val="center"/>
          </w:tcPr>
          <w:p>
            <w:pPr>
              <w:pStyle w:val="TableContents"/>
              <w:bidi w:val="0"/>
              <w:spacing w:before="0" w:after="283"/>
              <w:jc w:val="both"/>
              <w:rPr>
                <w:b/>
                <w:i/>
              </w:rPr>
            </w:pPr>
            <w:r>
              <w:rPr>
                <w:b/>
                <w:i/>
              </w:rPr>
              <w:t>Derivative liability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its financial instruments including convertible notes to determine if such instruments are derivatives or contain features that qualify as embedded derivatives in accordance with ASC 815. The Group applies significant judgment to identify and evaluate terms and conditions in these contracts and agreements to determine whether embedded derivative exists. If all the requirements for bifurcation are met, embedded derivatives are separately measured from the host contract. Bifurcated embedded derivatives are initially recorded at fair value and then remeasure at each reporting period, with change in fair value recognized in the consolidated statements of operations. Bifurcated embedded derivative are classified as separate liability in the consolidated balance sheets.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derivative liability related to the conversion feature embedded in the convertible notes payable. See note 14 for further details.</w:t>
      </w:r>
    </w:p>
    <w:p>
      <w:pPr>
        <w:pStyle w:val="TextBody"/>
        <w:bidi w:val="0"/>
        <w:spacing w:before="0" w:after="0"/>
        <w:ind w:left="360" w:right="0" w:hanging="36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45"/>
        <w:gridCol w:w="1655"/>
      </w:tblGrid>
      <w:tr>
        <w:trPr/>
        <w:tc>
          <w:tcPr>
            <w:tcW w:w="245" w:type="dxa"/>
            <w:tcBorders/>
            <w:vAlign w:val="center"/>
          </w:tcPr>
          <w:p>
            <w:pPr>
              <w:pStyle w:val="TableContents"/>
              <w:bidi w:val="0"/>
              <w:spacing w:before="0" w:after="283"/>
              <w:jc w:val="left"/>
              <w:rPr>
                <w:b/>
                <w:i/>
              </w:rPr>
            </w:pPr>
            <w:r>
              <w:rPr>
                <w:b/>
                <w:i/>
              </w:rPr>
              <w:t>(i)</w:t>
            </w:r>
          </w:p>
        </w:tc>
        <w:tc>
          <w:tcPr>
            <w:tcW w:w="1655" w:type="dxa"/>
            <w:tcBorders/>
            <w:vAlign w:val="center"/>
          </w:tcPr>
          <w:p>
            <w:pPr>
              <w:pStyle w:val="TableContents"/>
              <w:bidi w:val="0"/>
              <w:spacing w:before="0" w:after="283"/>
              <w:jc w:val="both"/>
              <w:rPr>
                <w:b/>
                <w:i/>
              </w:rPr>
            </w:pPr>
            <w:r>
              <w:rPr>
                <w:b/>
                <w:i/>
              </w:rPr>
              <w:t>Operating leases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ASC 842 on January 1, 2021.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expenses for short-term leases on a straight-line basis over the lease term.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represent the Group’s right to use an underlying asset for the lease term and lease liabilities represent the Group’s obligation to make lease payments arising from the lease. Right-of-use assets is recognized initially at cost, which primarily comprises the initial amount of the lease liability, plus any initial direct costs incurred, consisting mainly of brokerage commissions, less any lease incentives received. All right-of-use assets are reviewed for impairment. There was no impairment for right-of-use lease assets as of June 30, 2026 and December 31, 2025.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whether a contract is or contains a lease at inception of the contract and whether that lease meets the classification criteria of a finance or operating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Group had no long-term leases that were classified as a financing lease, and the Group’s lease contracts only contain fixed lease payments and do not contain any residual value guarantee.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agreements do not contain any material residual value guarantees or material restrictive covenants.</w:t>
      </w:r>
    </w:p>
    <w:p>
      <w:pPr>
        <w:pStyle w:val="TextBody"/>
        <w:bidi w:val="0"/>
        <w:spacing w:before="0" w:after="0"/>
        <w:ind w:left="0" w:right="0" w:firstLine="36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45"/>
        <w:gridCol w:w="2420"/>
      </w:tblGrid>
      <w:tr>
        <w:trPr/>
        <w:tc>
          <w:tcPr>
            <w:tcW w:w="245" w:type="dxa"/>
            <w:tcBorders/>
            <w:vAlign w:val="center"/>
          </w:tcPr>
          <w:p>
            <w:pPr>
              <w:pStyle w:val="TableContents"/>
              <w:bidi w:val="0"/>
              <w:spacing w:before="0" w:after="283"/>
              <w:jc w:val="left"/>
              <w:rPr>
                <w:b/>
                <w:i/>
              </w:rPr>
            </w:pPr>
            <w:r>
              <w:rPr>
                <w:b/>
                <w:i/>
              </w:rPr>
              <w:t>(j)</w:t>
            </w:r>
          </w:p>
        </w:tc>
        <w:tc>
          <w:tcPr>
            <w:tcW w:w="2420" w:type="dxa"/>
            <w:tcBorders/>
            <w:vAlign w:val="center"/>
          </w:tcPr>
          <w:p>
            <w:pPr>
              <w:pStyle w:val="TableContents"/>
              <w:bidi w:val="0"/>
              <w:spacing w:before="0" w:after="283"/>
              <w:jc w:val="both"/>
              <w:rPr>
                <w:b/>
                <w:i/>
              </w:rPr>
            </w:pPr>
            <w:r>
              <w:rPr>
                <w:b/>
                <w:i/>
              </w:rPr>
              <w:t>Fair value measurement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9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1 — inputs to the valuation methodology are quoted prices (unadjusted) for identical assets or liabilities in active markets.</w:t>
            </w:r>
          </w:p>
        </w:tc>
      </w:tr>
    </w:tbl>
    <w:p>
      <w:pPr>
        <w:pStyle w:val="TextBody"/>
        <w:bidi w:val="0"/>
        <w:spacing w:before="0" w:after="0"/>
        <w:ind w:left="9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p>
      <w:pPr>
        <w:pStyle w:val="TextBody"/>
        <w:bidi w:val="0"/>
        <w:spacing w:before="0" w:after="0"/>
        <w:ind w:left="9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Level 3 — inputs to the valuation methodology are unobservable.</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of the Group primarily consist of cash, accounts receivable, amounts due from related parties, other receivables, long-term investment, accounts payable, convertible notes payable, borrowings, amounts due to related parties, other payables. The carrying amounts of the Group’s financial instruments, including cash, accounts receivable, amounts due from related parties, other receivables, accounts payable, borrowings, amounts due to related parties, other payables, approximate their fair values because of their short-term nature.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component of the convertible notes is measured at fair value on a recurring basis using Level 3 inputs. The debt component is initially recorded at its carrying value, which is the residual amount of the proceeds after allocating a portion to the derivative liability and other equity instruments (such as Pre-Delivery Shares). The debt component is subsequently measured at amortized cost using the effective interest method, and its carrying value may not approximate its fair value due to the significant discount recorded at issuance.</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820-10, the Group measures its long-term investment accounted for using the fair value option on a recurring basis, which are classified within Level 3 in the fair value hierarchy.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techniques and significant unobservable inputs used to measure the fair value of the long-term investment and the derivative liability are detailed in Note 7 and Note 14.</w:t>
      </w:r>
    </w:p>
    <w:p>
      <w:pPr>
        <w:pStyle w:val="TextBody"/>
        <w:bidi w:val="0"/>
        <w:spacing w:before="0" w:after="0"/>
        <w:ind w:left="360" w:right="0" w:hanging="36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305"/>
        <w:gridCol w:w="2060"/>
      </w:tblGrid>
      <w:tr>
        <w:trPr/>
        <w:tc>
          <w:tcPr>
            <w:tcW w:w="305" w:type="dxa"/>
            <w:tcBorders/>
            <w:vAlign w:val="center"/>
          </w:tcPr>
          <w:p>
            <w:pPr>
              <w:pStyle w:val="TableContents"/>
              <w:bidi w:val="0"/>
              <w:spacing w:before="0" w:after="283"/>
              <w:jc w:val="left"/>
              <w:rPr>
                <w:b/>
                <w:i/>
              </w:rPr>
            </w:pPr>
            <w:r>
              <w:rPr>
                <w:b/>
                <w:i/>
              </w:rPr>
              <w:t>(k)</w:t>
            </w:r>
          </w:p>
        </w:tc>
        <w:tc>
          <w:tcPr>
            <w:tcW w:w="2060" w:type="dxa"/>
            <w:tcBorders/>
            <w:vAlign w:val="center"/>
          </w:tcPr>
          <w:p>
            <w:pPr>
              <w:pStyle w:val="TableContents"/>
              <w:bidi w:val="0"/>
              <w:spacing w:before="0" w:after="283"/>
              <w:jc w:val="both"/>
              <w:rPr>
                <w:b/>
                <w:i/>
              </w:rPr>
            </w:pPr>
            <w:r>
              <w:rPr>
                <w:b/>
                <w:i/>
              </w:rPr>
              <w:t>Revenue recognition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derives its revenues principally from providing IT customization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policies for each type of revenue stream are as follows: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customization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IT consulting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a series of IT consulting service which is interrelated as one promise to develop customized software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payment is made by the customers as agreed in the contract, and no variable consideration, significant financing component, or non-cash payment is identified in the arrangements for transaction price with the customers. The revenue is recognized at a point in time when the customized software solution is successfully completed, delivered and accepted by customers. There are no significant returns, refund and other similar obligations during each reporting period.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entered into during the six months ended June 30, 2026 regarding certain IT consulting arrangements that include post-delivery maintenance and software upgrade services, the Group considers these services to be a distinct performance obligation. These services represent an ongoing fulfillment activity that ensures the continuous performance of the software solutions throughout the contract term, rather than an assurance-type warranty. Accordingly, the transaction price allocated to the maintenance and upgrade services is recognized as revenue over time on a straight-line basis over the respective service period, as the customer simultaneously receives and consumes the benefits provided by the Group’s performance.</w:t>
      </w:r>
    </w:p>
    <w:p>
      <w:pPr>
        <w:pStyle w:val="TextBody"/>
        <w:bidi w:val="0"/>
        <w:spacing w:before="0" w:after="0"/>
        <w:ind w:left="360" w:right="0" w:hanging="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57" w:right="0" w:hanging="357"/>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Management software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Web 3.0 and blockchain-enabled platform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generates revenue from selling event tickets and merchant vouchers on its “Tridentity” app, which is powered by a proprietary blockchain-based identity solution. By providing highly secure, single sign-on authentication, Tridentity serves as the foundational digital infrastructure to support all current and future commerce transactions and services hosted on the platform.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ticket sales, the Group acts as an agent and recognizes revenue on a net basis at a point in time when the delivery of the ticket is in place. The Group’s performance obligation is to transfer control of an event ticket on behalf of merchants to a ticket buyer once an order has been confirmed. The Group does not obtain control of the tickets prior to their transfer, is not primarily responsible for fulfilling the underlying event services, and does not bear any inventory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voucher sales, the Group acts as a principal and recognizes revenue on a gross basis as it obtains control of the vouchers and assumes substantive inventory risk through fixed-quantity buyout agreements with merchants prior to transfer. Revenue is recognized at a point in time when the vouchers are actually redeemed by the end users and the underlying goods or services are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illustrates the disaggregation of revenue by revenue stream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5183" w:type="dxa"/>
        <w:jc w:val="left"/>
        <w:tblInd w:w="0" w:type="dxa"/>
        <w:tblLayout w:type="fixed"/>
        <w:tblCellMar>
          <w:top w:w="0" w:type="dxa"/>
          <w:left w:w="0" w:type="dxa"/>
          <w:bottom w:w="0" w:type="dxa"/>
          <w:right w:w="0" w:type="dxa"/>
        </w:tblCellMar>
      </w:tblPr>
      <w:tblGrid>
        <w:gridCol w:w="2465"/>
        <w:gridCol w:w="60"/>
        <w:gridCol w:w="192"/>
        <w:gridCol w:w="1100"/>
        <w:gridCol w:w="82"/>
        <w:gridCol w:w="82"/>
        <w:gridCol w:w="192"/>
        <w:gridCol w:w="935"/>
        <w:gridCol w:w="75"/>
      </w:tblGrid>
      <w:tr>
        <w:trPr/>
        <w:tc>
          <w:tcPr>
            <w:tcW w:w="2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b/>
              </w:rPr>
            </w:pPr>
            <w:r>
              <w:rPr>
                <w:b/>
              </w:rPr>
              <w:t>IT customization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381,339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935" w:type="dxa"/>
            <w:tcBorders/>
            <w:shd w:fill="CCEEFF" w:val="clear"/>
            <w:vAlign w:val="center"/>
          </w:tcPr>
          <w:p>
            <w:pPr>
              <w:pStyle w:val="TableContents"/>
              <w:bidi w:val="0"/>
              <w:spacing w:before="0" w:after="283"/>
              <w:jc w:val="right"/>
              <w:rPr>
                <w:b/>
              </w:rPr>
            </w:pPr>
            <w:r>
              <w:rPr>
                <w:b/>
              </w:rPr>
              <w:t>22,106</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pPr>
            <w:r>
              <w:rPr/>
              <w:t>(i) IT consulting</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374,564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17,096</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pPr>
            <w:r>
              <w:rPr/>
              <w:t>(ii) Management software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6,775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5,010</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both"/>
              <w:rPr>
                <w:b/>
              </w:rPr>
            </w:pPr>
            <w:r>
              <w:rPr>
                <w:b/>
              </w:rPr>
              <w:t>Platform services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3,132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14,506</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384,471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illustrates the disaggregation of revenue by timing of revenue recognition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5813" w:type="dxa"/>
        <w:jc w:val="left"/>
        <w:tblInd w:w="0" w:type="dxa"/>
        <w:tblLayout w:type="fixed"/>
        <w:tblCellMar>
          <w:top w:w="0" w:type="dxa"/>
          <w:left w:w="0" w:type="dxa"/>
          <w:bottom w:w="0" w:type="dxa"/>
          <w:right w:w="0" w:type="dxa"/>
        </w:tblCellMar>
      </w:tblPr>
      <w:tblGrid>
        <w:gridCol w:w="3095"/>
        <w:gridCol w:w="60"/>
        <w:gridCol w:w="192"/>
        <w:gridCol w:w="1100"/>
        <w:gridCol w:w="82"/>
        <w:gridCol w:w="82"/>
        <w:gridCol w:w="192"/>
        <w:gridCol w:w="935"/>
        <w:gridCol w:w="75"/>
      </w:tblGrid>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center"/>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b/>
              </w:rPr>
            </w:pPr>
            <w:r>
              <w:rPr>
                <w:b/>
              </w:rPr>
              <w:t>Timing of revenue recognition</w:t>
            </w:r>
          </w:p>
        </w:tc>
        <w:tc>
          <w:tcPr>
            <w:tcW w:w="60"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27"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At a point in time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377,696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31,602</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pPr>
            <w:r>
              <w:rPr/>
              <w:t>Over time</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6,775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pPr>
            <w:r>
              <w:rPr/>
              <w:t>5,010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384,471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contract assets represent contract costs, which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$198,917 and $162,604 as of June 30, 2026 and December 31, 2025, respectively. The cost recognized for the six months ended June 30, 2026 and for the year ended December 31, 2025 that was included in the contract asset balance at the beginning of the period were $5,582 and $848,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$589,656 and $518,011 as of June 30, 2026 and December 31, 2025, respectively. The revenue recognized for the six months ended June 30, 2026 and for the year ended December 31, 2025 that was included in the contract liability balance at the beginning of the period were $6,003 and $6,538,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contract costs and deferred revenue, the Group had no other material contract assets or contract liabilities recorded on its unaudited condensed consolidated balance sheets as of June 30, 2026 and December 31, 2025. </w:t>
      </w:r>
    </w:p>
    <w:p>
      <w:pPr>
        <w:pStyle w:val="TextBody"/>
        <w:bidi w:val="0"/>
        <w:spacing w:before="0" w:after="0"/>
        <w:ind w:left="0" w:right="0" w:firstLine="36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b/>
                <w:i/>
              </w:rPr>
            </w:pPr>
            <w:r>
              <w:rPr>
                <w:b/>
                <w:i/>
              </w:rPr>
              <w:t>(l)</w:t>
            </w:r>
          </w:p>
        </w:tc>
        <w:tc>
          <w:tcPr>
            <w:tcW w:w="3620" w:type="dxa"/>
            <w:tcBorders/>
            <w:vAlign w:val="center"/>
          </w:tcPr>
          <w:p>
            <w:pPr>
              <w:pStyle w:val="TableContents"/>
              <w:bidi w:val="0"/>
              <w:spacing w:before="0" w:after="283"/>
              <w:jc w:val="both"/>
              <w:rPr>
                <w:b/>
                <w:i/>
              </w:rPr>
            </w:pPr>
            <w:r>
              <w:rPr>
                <w:b/>
                <w:i/>
              </w:rPr>
              <w:t>General and administrative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mainly comprised of share-based compensation expenses, payroll expenses, professional service expenses, rent and utilities expenses, travelling expenses, IPO bonus and other expenses related to general corporate functions.</w:t>
      </w:r>
    </w:p>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365"/>
        <w:gridCol w:w="3590"/>
      </w:tblGrid>
      <w:tr>
        <w:trPr/>
        <w:tc>
          <w:tcPr>
            <w:tcW w:w="365" w:type="dxa"/>
            <w:tcBorders/>
            <w:vAlign w:val="center"/>
          </w:tcPr>
          <w:p>
            <w:pPr>
              <w:pStyle w:val="TableContents"/>
              <w:bidi w:val="0"/>
              <w:spacing w:before="0" w:after="283"/>
              <w:jc w:val="left"/>
              <w:rPr>
                <w:b/>
                <w:i/>
              </w:rPr>
            </w:pPr>
            <w:r>
              <w:rPr>
                <w:b/>
                <w:i/>
              </w:rPr>
              <w:t>(m)</w:t>
            </w:r>
          </w:p>
        </w:tc>
        <w:tc>
          <w:tcPr>
            <w:tcW w:w="3590" w:type="dxa"/>
            <w:tcBorders/>
            <w:vAlign w:val="center"/>
          </w:tcPr>
          <w:p>
            <w:pPr>
              <w:pStyle w:val="TableContents"/>
              <w:bidi w:val="0"/>
              <w:spacing w:before="0" w:after="283"/>
              <w:jc w:val="both"/>
              <w:rPr>
                <w:b/>
                <w:i/>
              </w:rPr>
            </w:pPr>
            <w:r>
              <w:rPr>
                <w:b/>
                <w:i/>
              </w:rPr>
              <w:t>Research and development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mainly comprised of system development expenses, payroll expenses, technical support and maintenance expenses.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320"/>
        <w:gridCol w:w="1325"/>
      </w:tblGrid>
      <w:tr>
        <w:trPr/>
        <w:tc>
          <w:tcPr>
            <w:tcW w:w="320" w:type="dxa"/>
            <w:tcBorders/>
            <w:vAlign w:val="center"/>
          </w:tcPr>
          <w:p>
            <w:pPr>
              <w:pStyle w:val="TableContents"/>
              <w:bidi w:val="0"/>
              <w:spacing w:before="0" w:after="283"/>
              <w:jc w:val="left"/>
              <w:rPr>
                <w:b/>
                <w:i/>
              </w:rPr>
            </w:pPr>
            <w:r>
              <w:rPr>
                <w:b/>
                <w:i/>
              </w:rPr>
              <w:t>(n)</w:t>
            </w:r>
          </w:p>
        </w:tc>
        <w:tc>
          <w:tcPr>
            <w:tcW w:w="1325" w:type="dxa"/>
            <w:tcBorders/>
            <w:vAlign w:val="center"/>
          </w:tcPr>
          <w:p>
            <w:pPr>
              <w:pStyle w:val="TableContents"/>
              <w:bidi w:val="0"/>
              <w:spacing w:before="0" w:after="283"/>
              <w:jc w:val="both"/>
              <w:rPr>
                <w:b/>
                <w:i/>
              </w:rPr>
            </w:pPr>
            <w:r>
              <w:rPr>
                <w:b/>
                <w:i/>
              </w:rPr>
              <w:t>Income taxes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tax assets and liabilities are recognized for expected future tax consequences of temporary differences between the financial reporting and tax bases of assets and liabilities, and for operating losses and tax credit carry forwards. A valuation allowance is recorded when it is more likely than not that some of the deferred tax assets will not be realized. When the Group determines and quantifies the valuation allowances, it considers such factors as projected future taxable income, the availability of tax planning strategies, the historical taxable income/losses in prior years, and future reversals of existing taxable temporary differences. The assumptions used in determining projected future taxable income require significant judgment. Actual operating results in future years could differ from current assumptions, judgments and estimates. Changes in these estimates and assumptions may materially affect the tax position measurement and financial statement recognition. If, in the future, the Group determines that it would not be able to realize the recorded deferred tax assets, an increase in the valuation allowance would decrease earnings in the period in which such determination is made. As of June 30, 2026 and December 31, 2025, the Group’s deferred tax assets, net of valuation allowances of $5,990,197 and $5,227,971, were $548,425 and $767,047, respectively. After offsetting deferred tax liabilities of $374,223 and $678,114, respectively, the net deferred tax assets recognized on the consolidated balance sheets were $174,202 and $88,933 as of June 30, 2026 and December 31,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accrue any liability, interest or penalties related to uncertain tax positions in its provision for income taxes line of its consolidated statements of operations for six months ended June 30, 2026 and 2025, respectively. The Group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expect that its assessment regarding unrecognized tax positions will materially change over the next 12 months.</w:t>
      </w:r>
    </w:p>
    <w:p>
      <w:pPr>
        <w:pStyle w:val="TextBody"/>
        <w:bidi w:val="0"/>
        <w:spacing w:before="0" w:after="0"/>
        <w:ind w:left="360" w:right="0" w:hanging="36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05"/>
        <w:gridCol w:w="4640"/>
      </w:tblGrid>
      <w:tr>
        <w:trPr/>
        <w:tc>
          <w:tcPr>
            <w:tcW w:w="305" w:type="dxa"/>
            <w:tcBorders/>
            <w:vAlign w:val="center"/>
          </w:tcPr>
          <w:p>
            <w:pPr>
              <w:pStyle w:val="TableContents"/>
              <w:bidi w:val="0"/>
              <w:spacing w:before="0" w:after="283"/>
              <w:jc w:val="left"/>
              <w:rPr>
                <w:b/>
                <w:i/>
              </w:rPr>
            </w:pPr>
            <w:r>
              <w:rPr>
                <w:b/>
                <w:i/>
              </w:rPr>
              <w:t>(o)</w:t>
            </w:r>
          </w:p>
        </w:tc>
        <w:tc>
          <w:tcPr>
            <w:tcW w:w="4640" w:type="dxa"/>
            <w:tcBorders/>
            <w:vAlign w:val="center"/>
          </w:tcPr>
          <w:p>
            <w:pPr>
              <w:pStyle w:val="TableContents"/>
              <w:bidi w:val="0"/>
              <w:spacing w:before="0" w:after="283"/>
              <w:jc w:val="both"/>
              <w:rPr>
                <w:b/>
                <w:i/>
              </w:rPr>
            </w:pPr>
            <w:r>
              <w:rPr>
                <w:b/>
                <w:i/>
              </w:rPr>
              <w:t>Foreign currency transactions and translations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changes in equity (deficit). Cash flows are also translated at average translation rates for the periods; therefore, amounts reported on the statement of cash flows will not necessarily agree with changes in the corresponding balances on the consolidated balance sheets. Translation of foreign currencies into US$1 have been made at the following exchange rates for the respective periods: </w:t>
      </w:r>
    </w:p>
    <w:p>
      <w:pPr>
        <w:pStyle w:val="TextBody"/>
        <w:bidi w:val="0"/>
        <w:spacing w:before="0" w:after="0"/>
        <w:ind w:left="0" w:right="0" w:firstLine="360"/>
        <w:jc w:val="both"/>
        <w:rPr>
          <w:caps w:val="false"/>
          <w:smallCaps w:val="false"/>
        </w:rPr>
      </w:pPr>
      <w:r>
        <w:rPr>
          <w:caps w:val="false"/>
          <w:smallCaps w:val="false"/>
        </w:rPr>
        <w:t> </w:t>
      </w:r>
    </w:p>
    <w:tbl>
      <w:tblPr>
        <w:tblW w:w="7033" w:type="dxa"/>
        <w:jc w:val="left"/>
        <w:tblInd w:w="0" w:type="dxa"/>
        <w:tblLayout w:type="fixed"/>
        <w:tblCellMar>
          <w:top w:w="0" w:type="dxa"/>
          <w:left w:w="0" w:type="dxa"/>
          <w:bottom w:w="0" w:type="dxa"/>
          <w:right w:w="0" w:type="dxa"/>
        </w:tblCellMar>
      </w:tblPr>
      <w:tblGrid>
        <w:gridCol w:w="4490"/>
        <w:gridCol w:w="60"/>
        <w:gridCol w:w="70"/>
        <w:gridCol w:w="804"/>
        <w:gridCol w:w="60"/>
        <w:gridCol w:w="60"/>
        <w:gridCol w:w="114"/>
        <w:gridCol w:w="1300"/>
        <w:gridCol w:w="75"/>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vAlign w:val="center"/>
          </w:tcPr>
          <w:p>
            <w:pPr>
              <w:pStyle w:val="TableContents"/>
              <w:bidi w:val="0"/>
              <w:spacing w:before="0" w:after="283"/>
              <w:jc w:val="center"/>
              <w:rPr>
                <w:b/>
              </w:rPr>
            </w:pPr>
            <w:r>
              <w:rPr>
                <w:b/>
              </w:rPr>
              <w:t xml:space="preserve">As of </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490" w:type="dxa"/>
            <w:tcBorders/>
            <w:shd w:fill="CCEEFF" w:val="clear"/>
            <w:vAlign w:val="center"/>
          </w:tcPr>
          <w:p>
            <w:pPr>
              <w:pStyle w:val="TableContents"/>
              <w:bidi w:val="0"/>
              <w:spacing w:before="0" w:after="283"/>
              <w:jc w:val="both"/>
              <w:rPr/>
            </w:pPr>
            <w:r>
              <w:rPr/>
              <w:t>Balance sheet items, except for equity accounts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pPr>
            <w:r>
              <w:rPr/>
              <w:t>1.2941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1.2859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2"/>
        <w:gridCol w:w="60"/>
        <w:gridCol w:w="91"/>
        <w:gridCol w:w="1045"/>
        <w:gridCol w:w="91"/>
        <w:gridCol w:w="91"/>
        <w:gridCol w:w="91"/>
        <w:gridCol w:w="1045"/>
        <w:gridCol w:w="79"/>
      </w:tblGrid>
      <w:tr>
        <w:trPr/>
        <w:tc>
          <w:tcPr>
            <w:tcW w:w="76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9" w:type="dxa"/>
            <w:tcBorders/>
            <w:vAlign w:val="center"/>
          </w:tcPr>
          <w:p>
            <w:pPr>
              <w:pStyle w:val="TableContents"/>
              <w:bidi w:val="0"/>
              <w:spacing w:before="0" w:after="283"/>
              <w:jc w:val="center"/>
              <w:rPr/>
            </w:pPr>
            <w:r>
              <w:rPr/>
              <w:t> </w:t>
            </w:r>
          </w:p>
        </w:tc>
      </w:tr>
      <w:tr>
        <w:trPr/>
        <w:tc>
          <w:tcPr>
            <w:tcW w:w="76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11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7612" w:type="dxa"/>
            <w:tcBorders/>
            <w:shd w:fill="CCEEFF" w:val="clear"/>
            <w:vAlign w:val="center"/>
          </w:tcPr>
          <w:p>
            <w:pPr>
              <w:pStyle w:val="TableContents"/>
              <w:bidi w:val="0"/>
              <w:spacing w:before="0" w:after="283"/>
              <w:jc w:val="both"/>
              <w:rPr/>
            </w:pPr>
            <w:r>
              <w:rPr/>
              <w:t>Items in the statements of operations and comprehensive loss, and statements of cash flow</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double" w:sz="10" w:space="0" w:color="000000"/>
            </w:tcBorders>
            <w:shd w:fill="CCEEFF" w:val="clear"/>
            <w:tcMar>
              <w:bottom w:w="28" w:type="dxa"/>
            </w:tcMar>
            <w:vAlign w:val="center"/>
          </w:tcPr>
          <w:p>
            <w:pPr>
              <w:pStyle w:val="TableContents"/>
              <w:bidi w:val="0"/>
              <w:spacing w:before="0" w:after="283"/>
              <w:jc w:val="right"/>
              <w:rPr/>
            </w:pPr>
            <w:r>
              <w:rPr/>
              <w:t>1.2775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double" w:sz="10" w:space="0" w:color="000000"/>
            </w:tcBorders>
            <w:shd w:fill="CCEEFF" w:val="clear"/>
            <w:tcMar>
              <w:bottom w:w="28" w:type="dxa"/>
            </w:tcMar>
            <w:vAlign w:val="center"/>
          </w:tcPr>
          <w:p>
            <w:pPr>
              <w:pStyle w:val="TableContents"/>
              <w:bidi w:val="0"/>
              <w:spacing w:before="0" w:after="283"/>
              <w:jc w:val="right"/>
              <w:rPr/>
            </w:pPr>
            <w:r>
              <w:rPr/>
              <w:t>1.3237</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05"/>
        <w:gridCol w:w="1460"/>
      </w:tblGrid>
      <w:tr>
        <w:trPr/>
        <w:tc>
          <w:tcPr>
            <w:tcW w:w="305" w:type="dxa"/>
            <w:tcBorders/>
            <w:vAlign w:val="center"/>
          </w:tcPr>
          <w:p>
            <w:pPr>
              <w:pStyle w:val="TableContents"/>
              <w:bidi w:val="0"/>
              <w:spacing w:before="0" w:after="283"/>
              <w:jc w:val="left"/>
              <w:rPr>
                <w:b/>
                <w:i/>
              </w:rPr>
            </w:pPr>
            <w:r>
              <w:rPr>
                <w:b/>
                <w:i/>
              </w:rPr>
              <w:t>(p)</w:t>
            </w:r>
          </w:p>
        </w:tc>
        <w:tc>
          <w:tcPr>
            <w:tcW w:w="1460" w:type="dxa"/>
            <w:tcBorders/>
            <w:vAlign w:val="center"/>
          </w:tcPr>
          <w:p>
            <w:pPr>
              <w:pStyle w:val="TableContents"/>
              <w:bidi w:val="0"/>
              <w:spacing w:before="0" w:after="283"/>
              <w:jc w:val="both"/>
              <w:rPr>
                <w:b/>
                <w:i/>
              </w:rPr>
            </w:pPr>
            <w:r>
              <w:rPr>
                <w:b/>
                <w:i/>
              </w:rPr>
              <w:t>Loss per share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ordinary shareholders, taking into consideration the deemed dividends to preferred shareholders (if any), by the weighted average number of ordinary shares outstanding during the year using the two-class method. Under the two-class method, net loss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 per share as of the date that all necessary conditions have been satisfied. Net loss are not allocated to other participating securities if based on their contractual terms they are not obligated to share the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Given the mandatory return obligation for a nominal fee, the Pre-Delivery Shares related to the issuance of the Convertible Notes function as a share-lending arrangement and do not represent outstanding ordinary shares. Therefore, the Pre-Delivery Shares are excluded from the computation of both basic and diluted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Convertible Notes represent potential ordinary shares. However, because the Company reported a net loss, the assumed conversion of the Convertible Notes was anti-dilutive and thus excluded from the calculation of diluted loss per share for the six months ended June 30, 2026. For the six months ended June 30, 2026 and 2025, there was no dilutive impact.</w:t>
      </w:r>
    </w:p>
    <w:p>
      <w:pPr>
        <w:pStyle w:val="TextBody"/>
        <w:bidi w:val="0"/>
        <w:spacing w:before="0" w:after="0"/>
        <w:ind w:left="0" w:right="0" w:firstLine="36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305"/>
        <w:gridCol w:w="1835"/>
      </w:tblGrid>
      <w:tr>
        <w:trPr/>
        <w:tc>
          <w:tcPr>
            <w:tcW w:w="305" w:type="dxa"/>
            <w:tcBorders/>
            <w:vAlign w:val="center"/>
          </w:tcPr>
          <w:p>
            <w:pPr>
              <w:pStyle w:val="TableContents"/>
              <w:bidi w:val="0"/>
              <w:spacing w:before="0" w:after="283"/>
              <w:jc w:val="left"/>
              <w:rPr>
                <w:b/>
                <w:i/>
              </w:rPr>
            </w:pPr>
            <w:r>
              <w:rPr>
                <w:b/>
                <w:i/>
              </w:rPr>
              <w:t>(q)</w:t>
            </w:r>
          </w:p>
        </w:tc>
        <w:tc>
          <w:tcPr>
            <w:tcW w:w="1835" w:type="dxa"/>
            <w:tcBorders/>
            <w:vAlign w:val="center"/>
          </w:tcPr>
          <w:p>
            <w:pPr>
              <w:pStyle w:val="TableContents"/>
              <w:bidi w:val="0"/>
              <w:spacing w:before="0" w:after="283"/>
              <w:jc w:val="both"/>
              <w:rPr>
                <w:b/>
                <w:i/>
              </w:rPr>
            </w:pPr>
            <w:r>
              <w:rPr>
                <w:b/>
                <w:i/>
              </w:rPr>
              <w:t>Segment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FASB issued ASU 2023-07, Segment Reporting (Topic 280): Improvements to Reportable Segment Disclosures, which expands public entities’ segment disclosures, among others,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new guidance was effective beginning on this annual report for the year ended December 31, 2024, and applied retrospectively to all prior periods presented. The impact of the adoption of this guidance was not material to the financial position or results of operations, as the requirements impact only segment reporting disclosures in the notes to financial statements.</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CODM relies upon the consolidated results of operations as a whole when making decisions about allocating resources and assessing the performance of the Group. As a result of the assessment made by CODM, the Group has only one reportable segment as defined by ASC 280. The single reportable segment contains revenues derived from business consulting service, IT customization and selling event tickets. Although the Group derives revenue mainly from these three kinds of services, services provided are essentially similar using the aggregation criteria in ASC 280-10-50-11, therefore, they are reported in a single reportable segment.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distinguish between markets or segments for the purpose of internal reporting. As all of the Group’s revenues were generated from customers in SG and all of the Group’s long-lived assets are located in the SG, no geographical segments are presented. The CODM makes decisions on resource allocation, evaluates operating performance, and monitors budget versus actual results using net loss. There are no reconciling items or adjustments between segment loss and net loss as presented in our statements of operations. The CODM does not review assets in evaluating the segment results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283"/>
              <w:jc w:val="left"/>
              <w:rPr>
                <w:b/>
                <w:i/>
              </w:rPr>
            </w:pPr>
            <w:r>
              <w:rPr>
                <w:b/>
                <w:i/>
              </w:rPr>
              <w:t>(r)</w:t>
            </w:r>
          </w:p>
        </w:tc>
        <w:tc>
          <w:tcPr>
            <w:tcW w:w="3200" w:type="dxa"/>
            <w:tcBorders/>
            <w:vAlign w:val="center"/>
          </w:tcPr>
          <w:p>
            <w:pPr>
              <w:pStyle w:val="TableContents"/>
              <w:bidi w:val="0"/>
              <w:spacing w:before="0" w:after="283"/>
              <w:jc w:val="both"/>
              <w:rPr>
                <w:b/>
                <w:i/>
              </w:rPr>
            </w:pPr>
            <w:r>
              <w:rPr>
                <w:b/>
                <w:i/>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1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w:t>
            </w:r>
          </w:p>
        </w:tc>
        <w:tc>
          <w:tcPr>
            <w:tcW w:w="315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Recent adopted accounting standards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The intent of ASU 2023-09 is to improve the disclosures around a company’s rate reconciliation information and certain types of income taxes companies are required to pay. Specifically, these new disclosure requirements will provide more transparency regarding income taxes companies pay in the United States and other countries, along with more disclosure around a company’s rate reconciliation, among other new disclosure requirements, such that users of financial statements can get better information about how the operations, related tax risks, tax planning and operational opportunities of companies affect their effective tax rates and future cash flow prospects. ASU 2023-09 is effective for public business entity for annual fiscal years beginning after December 15, 2024, and for all other entities for annual period beginning after December 15, 2025. Early adoption permitted for annual financial statements that have not yet been issued or made available for issuance. The amendments under ASU 2023-09 should be applied on a prospective basis, although retrospective application is permitted. As an emerging growth company (“EGC”) under the JOBS Act, the Group intends to use the extended transition period available to non-public business entities and has not early adopted ASU 2023-09. The Group adopted ASU No. 2023-09 from the period beginning from January 1, 2026, which resulted in changes in income tax related disclosures. Refer to Note 10 taxation for further information.</w:t>
      </w:r>
    </w:p>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15"/>
        <w:gridCol w:w="2990"/>
      </w:tblGrid>
      <w:tr>
        <w:trPr/>
        <w:tc>
          <w:tcPr>
            <w:tcW w:w="21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w:t>
            </w:r>
          </w:p>
        </w:tc>
        <w:tc>
          <w:tcPr>
            <w:tcW w:w="299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Recent accounting pronouncements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Group is currently evaluating the impact that the adoption of these standards will have on its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 Measurement of Credit Losses for Accounts Receivable and Contract Assets”. It applies to entities that use the practical expedient and accounting policy election (if applicable) when estimating expected credit losses on current accounts receivable and/or current contract assets from transactions under Topic 606, including such assets acquired in a business combination accounted for under Topic 805. The amendments will be effective for annual reporting periods beginning after December 15, 2025, and interim reporting periods within those annual periods. Early adoption is permitted. The Group does not expect to adopt this guidance early and does not expect the adoption of this ASU to have a material impact on its future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Accounting for Government Grants Received by Business Entities (“ASU 2025-10”). The amendments establish the accounting for a government grant received by a business entity, including guidance for (1) a grant related to an asset and (2) a grant related to income. ASU 2025-10 is effective for annual reporting periods beginning after December 15, 2028, and interim reporting periods within those annual reporting periods. Early adoption is permitted. The Group is currently evaluating the impact of adopting ASU 2025-10.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Improvements to Interim Disclosure Requirements (“ASU 2025-11”). The amendments clarify disclosure requirements for interim financial statements. ASU 2025-11 is effective for interim periods beginning after December 15, 2026. Early adoption is permitted. The Group is currently evaluating the impact of adopting ASU 2025-11.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The amendments in this Update represent changes to clarify the Codification or correct unintended application of guidance and apply to all reporting entities within the scope of the affected accounting guidance. These amendments are effective for annual reporting periods beginning after December 15, 2026, and interim reporting periods within those annual reporting periods. Early adoption is permitted. The Group is currently evaluating the impact the adoption of ASU 2025-12 will have on its future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15"/>
        <w:gridCol w:w="4130"/>
      </w:tblGrid>
      <w:tr>
        <w:trPr/>
        <w:tc>
          <w:tcPr>
            <w:tcW w:w="215" w:type="dxa"/>
            <w:tcBorders/>
            <w:vAlign w:val="center"/>
          </w:tcPr>
          <w:p>
            <w:pPr>
              <w:pStyle w:val="TableContents"/>
              <w:bidi w:val="0"/>
              <w:spacing w:before="0" w:after="283"/>
              <w:jc w:val="left"/>
              <w:rPr>
                <w:b/>
              </w:rPr>
            </w:pPr>
            <w:r>
              <w:rPr>
                <w:b/>
              </w:rPr>
              <w:t>3.</w:t>
            </w:r>
          </w:p>
        </w:tc>
        <w:tc>
          <w:tcPr>
            <w:tcW w:w="4130" w:type="dxa"/>
            <w:tcBorders/>
            <w:vAlign w:val="center"/>
          </w:tcPr>
          <w:p>
            <w:pPr>
              <w:pStyle w:val="TableContents"/>
              <w:bidi w:val="0"/>
              <w:spacing w:before="0" w:after="283"/>
              <w:jc w:val="both"/>
              <w:rPr>
                <w:b/>
              </w:rPr>
            </w:pPr>
            <w:r>
              <w:rPr>
                <w:b/>
              </w:rPr>
              <w:t>LIQUIDITY AND GOING CONCERN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Accounting Standards Update (“ASU”) 2014-15, “Disclosure of Uncertainties about an Entity’s Ability to Continue as a Going Concern (Subtopic 205-40)”, the Group has evaluated whether there are conditions and events, considered in the aggregate, that raise substantial doubt about the Group’s ability to continue as a going concern within one year after the date that the unaudited condensed consolidated financial statements are issued. The Group incurred net loss of $12,727,298 and $11,271,548 for the six months ended June 30, 2026 and 2025, respectively. Net cash used in operating activities were $4,883,016 and $3,649,470 for the six months ended June 30, 2026 and 2025, respectively. Accumulated deficits were $49,793,189 and $37,065,891 as of June 30, 2026 and December 31, 2025, respectively. These conditions raised substantial doubts about the Group’s ability to continue as a going concern.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funded its operations from both operational sources of cash and equity and debt financing. The Group’s liquidity is based on its ability to generate cash from operating activities, obtain capital financing from equity interest investors and borrow funds from financial institutions. The Company’s ability to continue as a going concern is dependent on management’s ability to successfully execute its business plan, which includes generating revenue while controlling operating cost to generate positive operating cash flows and obtaining funds from outside sources of financing to generate positive financing cash flows. As of June 30, 2026, the Group had cash of $81,217 and working capital deficit of $5,983,452. The Group intends to pursue private financing of debt or equity. If the Group is unable to obtain sufficient funding, it could be required to delay its development efforts and limit activities, which could adversely affect its business and the consolidated financial statements. </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current financial factors raise doubt about the Group’s ability to continue as a going concern, management has made mitigation plan to alleviate liquidity pressure,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7"/>
        <w:gridCol w:w="10043"/>
      </w:tblGrid>
      <w:tr>
        <w:trPr/>
        <w:tc>
          <w:tcPr>
            <w:tcW w:w="7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13, 2026, Mr. Soon Huat Lim, provided a financial support letter to the Group, pursuant to which he committed to provide sufficient funds with no limit to meet the Group’s other liabilities and commitments as they become due for at least twelve months from the issuance of this letter, to support the Group’s normal operation. If needed, Mr. Soon Huat Lim will sell or pledge the direct and indirect shares on the Company to provide such financial support when necessary. On June 30, 2026, the Company entered into a share subscription agreement with Mr. Soon Huat Lim, the ultimate controller of the Group, pursuant to which Mr. Soon Huat Lim agreed to convert approximately US$8.0 million of outstanding indebtedness owed by the Company to him into 901,408,450 restricted Class B Ordinary Shares of the Company, at a conversion price of US$0.008875 per share.</w:t>
            </w:r>
          </w:p>
        </w:tc>
      </w:tr>
    </w:tbl>
    <w:p>
      <w:pPr>
        <w:pStyle w:val="TextBody"/>
        <w:bidi w:val="0"/>
        <w:spacing w:before="0" w:after="0"/>
        <w:ind w:left="8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September 8, 2026, the Company entered into a securities purchase agreement with certain non-U.S. investors (the “Purchasers”), pursuant to which the Company agreed to issue and sell to the Purchasers an aggregate of 20,000,000 Class B ordinary shares of the Company, par value US$0.0024 per share, at a purchase price of US$0.40 per share, for aggregate gross proceeds of US$8.0 million (as referred in Note 19). The Group believes the private financing and the new business may help to alleviate liquidity pressure.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both"/>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29, 2026, the Company completed a registered direct offering, issuing 30,000,000 Class B ordinary shares at US$0.50 per share and raising gross proceeds of US$15.0 million (as referred in Note 19), paid in USDC and/or USDT. The Group is pursuing private financing of debt or equity and developing new business, which the Group believes will generate sufficient profit and cash to support the Group’s operation.</w:t>
            </w:r>
          </w:p>
        </w:tc>
      </w:tr>
      <w:tr>
        <w:trPr/>
        <w:tc>
          <w:tcPr>
            <w:tcW w:w="75" w:type="dxa"/>
            <w:tcBorders/>
            <w:vAlign w:val="center"/>
          </w:tcPr>
          <w:p>
            <w:pPr>
              <w:pStyle w:val="TableContents"/>
              <w:bidi w:val="0"/>
              <w:spacing w:before="0" w:after="283"/>
              <w:jc w:val="both"/>
              <w:rPr/>
            </w:pPr>
            <w:r>
              <w:rPr/>
              <w:t> </w:t>
            </w:r>
          </w:p>
        </w:tc>
        <w:tc>
          <w:tcPr>
            <w:tcW w:w="212" w:type="dxa"/>
            <w:tcBorders/>
            <w:vAlign w:val="center"/>
          </w:tcPr>
          <w:p>
            <w:pPr>
              <w:pStyle w:val="TableContents"/>
              <w:bidi w:val="0"/>
              <w:spacing w:before="0" w:after="283"/>
              <w:jc w:val="both"/>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would make continuous efforts to improve operating efficiency, standardize operations to reduce discretionary spending, enhance cost controls, and create synergy of allocated resources.</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the financial support from the ultimate controller of the Group, private financing and the new business may help to alleviate liquidity pressure.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accompanying unaudited condensed consolidated financial statements have been prepared on the basis the Group will be able to continue as a going concern for a period of one year after the issuance of the consolidated financial statements. The unaudited condensed consolidated financial statements do not include any adjustments related to the recoverability or classification of asset and the amounts or classification of liabilities that may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283"/>
              <w:jc w:val="left"/>
              <w:rPr>
                <w:b/>
              </w:rPr>
            </w:pPr>
            <w:r>
              <w:rPr>
                <w:b/>
              </w:rPr>
              <w:t>4.</w:t>
            </w:r>
          </w:p>
        </w:tc>
        <w:tc>
          <w:tcPr>
            <w:tcW w:w="3740" w:type="dxa"/>
            <w:tcBorders/>
            <w:vAlign w:val="center"/>
          </w:tcPr>
          <w:p>
            <w:pPr>
              <w:pStyle w:val="TableContents"/>
              <w:bidi w:val="0"/>
              <w:spacing w:before="0" w:after="283"/>
              <w:jc w:val="both"/>
              <w:rPr>
                <w:b/>
              </w:rPr>
            </w:pPr>
            <w:r>
              <w:rPr>
                <w:b/>
              </w:rPr>
              <w:t>ACCOUNTS RECEIVABLE, NET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3305"/>
        <w:gridCol w:w="60"/>
        <w:gridCol w:w="158"/>
        <w:gridCol w:w="716"/>
        <w:gridCol w:w="95"/>
        <w:gridCol w:w="60"/>
        <w:gridCol w:w="122"/>
        <w:gridCol w:w="1292"/>
        <w:gridCol w:w="110"/>
      </w:tblGrid>
      <w:tr>
        <w:trPr/>
        <w:tc>
          <w:tcPr>
            <w:tcW w:w="33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As of</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110" w:type="dxa"/>
            <w:tcBorders/>
            <w:vAlign w:val="center"/>
          </w:tcPr>
          <w:p>
            <w:pPr>
              <w:pStyle w:val="TableContents"/>
              <w:bidi w:val="0"/>
              <w:spacing w:before="0" w:after="283"/>
              <w:jc w:val="center"/>
              <w:rPr/>
            </w:pPr>
            <w:r>
              <w:rPr/>
              <w:t> </w:t>
            </w:r>
          </w:p>
        </w:tc>
      </w:tr>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7,441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7,489</w:t>
            </w:r>
          </w:p>
        </w:tc>
        <w:tc>
          <w:tcPr>
            <w:tcW w:w="11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both"/>
              <w:rPr/>
            </w:pPr>
            <w:r>
              <w:rPr/>
              <w:t>Allowance for expected credit loss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(7,441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FFFFFF" w:val="clear"/>
            <w:tcMar>
              <w:bottom w:w="28" w:type="dxa"/>
            </w:tcMar>
            <w:vAlign w:val="center"/>
          </w:tcPr>
          <w:p>
            <w:pPr>
              <w:pStyle w:val="TableContents"/>
              <w:bidi w:val="0"/>
              <w:spacing w:before="0" w:after="283"/>
              <w:jc w:val="right"/>
              <w:rPr/>
            </w:pPr>
            <w:r>
              <w:rPr/>
              <w:t>(7,489</w:t>
            </w:r>
          </w:p>
        </w:tc>
        <w:tc>
          <w:tcPr>
            <w:tcW w:w="11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both"/>
              <w:rPr>
                <w:b/>
              </w:rPr>
            </w:pPr>
            <w:r>
              <w:rPr>
                <w:b/>
              </w:rPr>
              <w:t>Accounts receivable, net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1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recorded nil and $10,359 bad debt expense for the six months ended June 30, 2026 and 2025, respectively. </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expected credit loss is as follows:</w:t>
      </w:r>
    </w:p>
    <w:p>
      <w:pPr>
        <w:pStyle w:val="TextBody"/>
        <w:bidi w:val="0"/>
        <w:spacing w:before="0" w:after="0"/>
        <w:ind w:left="0" w:right="0" w:firstLine="360"/>
        <w:jc w:val="both"/>
        <w:rPr>
          <w:caps w:val="false"/>
          <w:smallCaps w:val="false"/>
        </w:rPr>
      </w:pPr>
      <w:r>
        <w:rPr>
          <w:caps w:val="false"/>
          <w:smallCaps w:val="false"/>
        </w:rPr>
        <w:t> </w:t>
      </w:r>
    </w:p>
    <w:tbl>
      <w:tblPr>
        <w:tblW w:w="6683" w:type="dxa"/>
        <w:jc w:val="left"/>
        <w:tblInd w:w="0" w:type="dxa"/>
        <w:tblLayout w:type="fixed"/>
        <w:tblCellMar>
          <w:top w:w="0" w:type="dxa"/>
          <w:left w:w="0" w:type="dxa"/>
          <w:bottom w:w="0" w:type="dxa"/>
          <w:right w:w="0" w:type="dxa"/>
        </w:tblCellMar>
      </w:tblPr>
      <w:tblGrid>
        <w:gridCol w:w="4160"/>
        <w:gridCol w:w="60"/>
        <w:gridCol w:w="198"/>
        <w:gridCol w:w="901"/>
        <w:gridCol w:w="95"/>
        <w:gridCol w:w="60"/>
        <w:gridCol w:w="172"/>
        <w:gridCol w:w="927"/>
        <w:gridCol w:w="110"/>
      </w:tblGrid>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For the</w:t>
              <w:br/>
              <w:t>six months</w:t>
              <w:br/>
              <w:t xml:space="preserve">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For the</w:t>
              <w:br/>
              <w:t>six months</w:t>
              <w:br/>
              <w:t xml:space="preserve">Ended </w:t>
              <w:br/>
              <w:t>June 30,</w:t>
            </w:r>
          </w:p>
        </w:tc>
        <w:tc>
          <w:tcPr>
            <w:tcW w:w="1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b/>
              </w:rPr>
            </w:pPr>
            <w:r>
              <w:rPr>
                <w:b/>
              </w:rPr>
              <w:t>Balance as of the beginning of the period</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(7,489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(10,265</w:t>
            </w:r>
          </w:p>
        </w:tc>
        <w:tc>
          <w:tcPr>
            <w:tcW w:w="110" w:type="dxa"/>
            <w:tcBorders/>
            <w:shd w:fill="CCEEFF" w:val="clear"/>
            <w:vAlign w:val="center"/>
          </w:tcPr>
          <w:p>
            <w:pPr>
              <w:pStyle w:val="TableContents"/>
              <w:bidi w:val="0"/>
              <w:spacing w:before="0" w:after="283"/>
              <w:jc w:val="left"/>
              <w:rPr/>
            </w:pPr>
            <w:r>
              <w:rPr/>
              <w:t>)</w:t>
            </w:r>
          </w:p>
        </w:tc>
      </w:tr>
      <w:tr>
        <w:trPr/>
        <w:tc>
          <w:tcPr>
            <w:tcW w:w="4160" w:type="dxa"/>
            <w:tcBorders/>
            <w:shd w:fill="FFFFFF" w:val="clear"/>
            <w:vAlign w:val="center"/>
          </w:tcPr>
          <w:p>
            <w:pPr>
              <w:pStyle w:val="TableContents"/>
              <w:bidi w:val="0"/>
              <w:spacing w:before="0" w:after="283"/>
              <w:jc w:val="both"/>
              <w:rPr/>
            </w:pPr>
            <w:r>
              <w:rPr/>
              <w:t>Expected credit loss provision</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(10,359</w:t>
            </w:r>
          </w:p>
        </w:tc>
        <w:tc>
          <w:tcPr>
            <w:tcW w:w="110" w:type="dxa"/>
            <w:tcBorders/>
            <w:shd w:fill="FFFFFF" w:val="clear"/>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both"/>
              <w:rPr/>
            </w:pPr>
            <w:r>
              <w:rPr/>
              <w:t>Exchange difference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1,711</w:t>
            </w:r>
          </w:p>
        </w:tc>
        <w:tc>
          <w:tcPr>
            <w:tcW w:w="11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both"/>
              <w:rPr>
                <w:b/>
              </w:rPr>
            </w:pPr>
            <w:r>
              <w:rPr>
                <w:b/>
              </w:rPr>
              <w:t>Balance as of the end of the period</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0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(18,913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215"/>
        <w:gridCol w:w="6260"/>
      </w:tblGrid>
      <w:tr>
        <w:trPr/>
        <w:tc>
          <w:tcPr>
            <w:tcW w:w="215" w:type="dxa"/>
            <w:tcBorders/>
            <w:vAlign w:val="center"/>
          </w:tcPr>
          <w:p>
            <w:pPr>
              <w:pStyle w:val="TableContents"/>
              <w:bidi w:val="0"/>
              <w:spacing w:before="0" w:after="283"/>
              <w:jc w:val="left"/>
              <w:rPr>
                <w:b/>
              </w:rPr>
            </w:pPr>
            <w:r>
              <w:rPr>
                <w:b/>
              </w:rPr>
              <w:t>5.</w:t>
            </w:r>
          </w:p>
        </w:tc>
        <w:tc>
          <w:tcPr>
            <w:tcW w:w="6260" w:type="dxa"/>
            <w:tcBorders/>
            <w:vAlign w:val="center"/>
          </w:tcPr>
          <w:p>
            <w:pPr>
              <w:pStyle w:val="TableContents"/>
              <w:bidi w:val="0"/>
              <w:spacing w:before="0" w:after="283"/>
              <w:jc w:val="both"/>
              <w:rPr>
                <w:b/>
              </w:rPr>
            </w:pPr>
            <w:r>
              <w:rPr>
                <w:b/>
              </w:rPr>
              <w:t>PREPAID EXPENSES AND OTHER CURRENT ASSETS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489" w:type="dxa"/>
        <w:jc w:val="left"/>
        <w:tblInd w:w="0" w:type="dxa"/>
        <w:tblLayout w:type="fixed"/>
        <w:tblCellMar>
          <w:top w:w="0" w:type="dxa"/>
          <w:left w:w="0" w:type="dxa"/>
          <w:bottom w:w="0" w:type="dxa"/>
          <w:right w:w="0" w:type="dxa"/>
        </w:tblCellMar>
      </w:tblPr>
      <w:tblGrid>
        <w:gridCol w:w="4880"/>
        <w:gridCol w:w="60"/>
        <w:gridCol w:w="140"/>
        <w:gridCol w:w="800"/>
        <w:gridCol w:w="60"/>
        <w:gridCol w:w="60"/>
        <w:gridCol w:w="210"/>
        <w:gridCol w:w="1204"/>
        <w:gridCol w:w="75"/>
      </w:tblGrid>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 xml:space="preserve">As of </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pPr>
            <w:r>
              <w:rPr/>
              <w:t>Prepayments to suppliers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268,111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274,628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136,241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137,583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pPr>
            <w:r>
              <w:rPr/>
              <w:t>Tax prepayment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65,561</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5,504</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b/>
              </w:rPr>
            </w:pPr>
            <w:r>
              <w:rPr>
                <w:b/>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474,935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483,276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did not record any bad debt expense for the six months ended June 30, 2026 and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credit losses is as follows:</w:t>
      </w:r>
    </w:p>
    <w:p>
      <w:pPr>
        <w:pStyle w:val="TextBody"/>
        <w:bidi w:val="0"/>
        <w:spacing w:before="0" w:after="0"/>
        <w:ind w:left="0" w:right="0" w:firstLine="36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4160"/>
        <w:gridCol w:w="60"/>
        <w:gridCol w:w="172"/>
        <w:gridCol w:w="927"/>
        <w:gridCol w:w="60"/>
        <w:gridCol w:w="60"/>
        <w:gridCol w:w="172"/>
        <w:gridCol w:w="927"/>
        <w:gridCol w:w="110"/>
      </w:tblGrid>
      <w:tr>
        <w:trPr/>
        <w:tc>
          <w:tcPr>
            <w:tcW w:w="41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For the</w:t>
              <w:br/>
              <w:t>six months</w:t>
              <w:br/>
              <w:t>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For the</w:t>
              <w:br/>
              <w:t>six months</w:t>
              <w:br/>
              <w:t>Ended</w:t>
              <w:br/>
              <w:t>June 30,</w:t>
            </w:r>
          </w:p>
        </w:tc>
        <w:tc>
          <w:tcPr>
            <w:tcW w:w="11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b/>
              </w:rPr>
            </w:pPr>
            <w:r>
              <w:rPr>
                <w:b/>
              </w:rPr>
              <w:t>Balance as of the beginning of the period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(73,196</w:t>
            </w:r>
          </w:p>
        </w:tc>
        <w:tc>
          <w:tcPr>
            <w:tcW w:w="110" w:type="dxa"/>
            <w:tcBorders/>
            <w:shd w:fill="CCEEFF" w:val="clear"/>
            <w:vAlign w:val="center"/>
          </w:tcPr>
          <w:p>
            <w:pPr>
              <w:pStyle w:val="TableContents"/>
              <w:bidi w:val="0"/>
              <w:spacing w:before="0" w:after="283"/>
              <w:jc w:val="left"/>
              <w:rPr/>
            </w:pPr>
            <w:r>
              <w:rPr/>
              <w:t>)</w:t>
            </w:r>
          </w:p>
        </w:tc>
      </w:tr>
      <w:tr>
        <w:trPr/>
        <w:tc>
          <w:tcPr>
            <w:tcW w:w="4160" w:type="dxa"/>
            <w:tcBorders/>
            <w:shd w:fill="FFFFFF" w:val="clear"/>
            <w:vAlign w:val="center"/>
          </w:tcPr>
          <w:p>
            <w:pPr>
              <w:pStyle w:val="TableContents"/>
              <w:bidi w:val="0"/>
              <w:spacing w:before="0" w:after="283"/>
              <w:jc w:val="both"/>
              <w:rPr/>
            </w:pPr>
            <w:r>
              <w:rPr/>
              <w:t>Reversal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both"/>
              <w:rPr/>
            </w:pPr>
            <w:r>
              <w:rPr/>
              <w:t>Exchange difference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(5,427</w:t>
            </w:r>
          </w:p>
        </w:tc>
        <w:tc>
          <w:tcPr>
            <w:tcW w:w="110" w:type="dxa"/>
            <w:tcBorders/>
            <w:shd w:fill="CCEEFF" w:val="clear"/>
            <w:vAlign w:val="center"/>
          </w:tcPr>
          <w:p>
            <w:pPr>
              <w:pStyle w:val="TableContents"/>
              <w:bidi w:val="0"/>
              <w:spacing w:before="0" w:after="283"/>
              <w:jc w:val="left"/>
              <w:rPr/>
            </w:pPr>
            <w:r>
              <w:rPr/>
              <w:t>)</w:t>
            </w:r>
          </w:p>
        </w:tc>
      </w:tr>
      <w:tr>
        <w:trPr/>
        <w:tc>
          <w:tcPr>
            <w:tcW w:w="4160" w:type="dxa"/>
            <w:tcBorders/>
            <w:shd w:fill="FFFFFF" w:val="clear"/>
            <w:vAlign w:val="center"/>
          </w:tcPr>
          <w:p>
            <w:pPr>
              <w:pStyle w:val="TableContents"/>
              <w:bidi w:val="0"/>
              <w:spacing w:before="0" w:after="283"/>
              <w:jc w:val="both"/>
              <w:rPr>
                <w:b/>
              </w:rPr>
            </w:pPr>
            <w:r>
              <w:rPr>
                <w:b/>
              </w:rPr>
              <w:t>Balance as of the end of the period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(78,623</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15"/>
        <w:gridCol w:w="4175"/>
      </w:tblGrid>
      <w:tr>
        <w:trPr/>
        <w:tc>
          <w:tcPr>
            <w:tcW w:w="215" w:type="dxa"/>
            <w:tcBorders/>
            <w:vAlign w:val="center"/>
          </w:tcPr>
          <w:p>
            <w:pPr>
              <w:pStyle w:val="TableContents"/>
              <w:bidi w:val="0"/>
              <w:spacing w:before="0" w:after="283"/>
              <w:jc w:val="left"/>
              <w:rPr>
                <w:b/>
              </w:rPr>
            </w:pPr>
            <w:r>
              <w:rPr>
                <w:b/>
              </w:rPr>
              <w:t>6.</w:t>
            </w:r>
          </w:p>
        </w:tc>
        <w:tc>
          <w:tcPr>
            <w:tcW w:w="4175" w:type="dxa"/>
            <w:tcBorders/>
            <w:vAlign w:val="center"/>
          </w:tcPr>
          <w:p>
            <w:pPr>
              <w:pStyle w:val="TableContents"/>
              <w:bidi w:val="0"/>
              <w:spacing w:before="0" w:after="283"/>
              <w:jc w:val="both"/>
              <w:rPr>
                <w:b/>
              </w:rPr>
            </w:pPr>
            <w:r>
              <w:rPr>
                <w:b/>
              </w:rPr>
              <w:t>PROPERTY AND EQUIPMENT, NET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379" w:type="dxa"/>
        <w:jc w:val="left"/>
        <w:tblInd w:w="0" w:type="dxa"/>
        <w:tblLayout w:type="fixed"/>
        <w:tblCellMar>
          <w:top w:w="0" w:type="dxa"/>
          <w:left w:w="0" w:type="dxa"/>
          <w:bottom w:w="0" w:type="dxa"/>
          <w:right w:w="0" w:type="dxa"/>
        </w:tblCellMar>
      </w:tblPr>
      <w:tblGrid>
        <w:gridCol w:w="4625"/>
        <w:gridCol w:w="60"/>
        <w:gridCol w:w="140"/>
        <w:gridCol w:w="875"/>
        <w:gridCol w:w="95"/>
        <w:gridCol w:w="60"/>
        <w:gridCol w:w="194"/>
        <w:gridCol w:w="1220"/>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As of</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110" w:type="dxa"/>
            <w:tcBorders/>
            <w:vAlign w:val="center"/>
          </w:tcPr>
          <w:p>
            <w:pPr>
              <w:pStyle w:val="TableContents"/>
              <w:bidi w:val="0"/>
              <w:spacing w:before="0" w:after="283"/>
              <w:jc w:val="center"/>
              <w:rPr/>
            </w:pPr>
            <w:r>
              <w:rPr/>
              <w:t> </w:t>
            </w:r>
          </w:p>
        </w:tc>
      </w:tr>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Office and electric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223,628</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Leasehold improvement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127,350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128,162</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Vehicle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22,880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23,027</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b/>
              </w:rPr>
            </w:pPr>
            <w:r>
              <w:rPr>
                <w:b/>
              </w:rPr>
              <w:t>Subtotal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376,481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374,817</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(235,362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(198,150</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141,119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176,667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and amortization expense were $38,761 and $30,412 for the six months ended June 30, 2026 and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record any impairment charge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15"/>
        <w:gridCol w:w="3260"/>
      </w:tblGrid>
      <w:tr>
        <w:trPr/>
        <w:tc>
          <w:tcPr>
            <w:tcW w:w="215" w:type="dxa"/>
            <w:tcBorders/>
            <w:vAlign w:val="center"/>
          </w:tcPr>
          <w:p>
            <w:pPr>
              <w:pStyle w:val="TableContents"/>
              <w:bidi w:val="0"/>
              <w:spacing w:before="0" w:after="283"/>
              <w:jc w:val="left"/>
              <w:rPr>
                <w:b/>
              </w:rPr>
            </w:pPr>
            <w:r>
              <w:rPr>
                <w:b/>
              </w:rPr>
              <w:t>7.</w:t>
            </w:r>
          </w:p>
        </w:tc>
        <w:tc>
          <w:tcPr>
            <w:tcW w:w="3260" w:type="dxa"/>
            <w:tcBorders/>
            <w:vAlign w:val="center"/>
          </w:tcPr>
          <w:p>
            <w:pPr>
              <w:pStyle w:val="TableContents"/>
              <w:bidi w:val="0"/>
              <w:spacing w:before="0" w:after="283"/>
              <w:jc w:val="both"/>
              <w:rPr>
                <w:b/>
              </w:rPr>
            </w:pPr>
            <w:r>
              <w:rPr>
                <w:b/>
              </w:rPr>
              <w:t>LONG-TERM INVESTMENT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474" w:type="dxa"/>
        <w:jc w:val="left"/>
        <w:tblInd w:w="0" w:type="dxa"/>
        <w:tblLayout w:type="fixed"/>
        <w:tblCellMar>
          <w:top w:w="0" w:type="dxa"/>
          <w:left w:w="0" w:type="dxa"/>
          <w:bottom w:w="0" w:type="dxa"/>
          <w:right w:w="0" w:type="dxa"/>
        </w:tblCellMar>
      </w:tblPr>
      <w:tblGrid>
        <w:gridCol w:w="4685"/>
        <w:gridCol w:w="60"/>
        <w:gridCol w:w="140"/>
        <w:gridCol w:w="980"/>
        <w:gridCol w:w="60"/>
        <w:gridCol w:w="60"/>
        <w:gridCol w:w="176"/>
        <w:gridCol w:w="1238"/>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As of</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both"/>
              <w:rPr/>
            </w:pPr>
            <w:r>
              <w:rPr/>
              <w:t>Investment accounted for under fair value option:</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both"/>
              <w:rPr/>
            </w:pPr>
            <w:r>
              <w:rPr/>
              <w:t>Investment in Tongxin Innovation Limited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3,325,000</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both"/>
              <w:rPr>
                <w:b/>
              </w:rPr>
            </w:pPr>
            <w:r>
              <w:rPr>
                <w:b/>
              </w:rPr>
              <w:t>Total long-term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3,325,000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changes in the Group’s long-term investment:</w:t>
      </w:r>
    </w:p>
    <w:p>
      <w:pPr>
        <w:pStyle w:val="TextBody"/>
        <w:bidi w:val="0"/>
        <w:spacing w:before="0" w:after="0"/>
        <w:ind w:left="0" w:right="0" w:firstLine="360"/>
        <w:jc w:val="both"/>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4070"/>
        <w:gridCol w:w="60"/>
        <w:gridCol w:w="140"/>
        <w:gridCol w:w="1055"/>
        <w:gridCol w:w="11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Investments made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7,097,000</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Fair value change on long-term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(3,772,000</w:t>
            </w:r>
          </w:p>
        </w:tc>
        <w:tc>
          <w:tcPr>
            <w:tcW w:w="110" w:type="dxa"/>
            <w:tcBorders/>
            <w:shd w:fill="CCEEFF" w:val="clear"/>
            <w:vAlign w:val="center"/>
          </w:tcPr>
          <w:p>
            <w:pPr>
              <w:pStyle w:val="TableContents"/>
              <w:bidi w:val="0"/>
              <w:spacing w:before="0" w:after="283"/>
              <w:jc w:val="left"/>
              <w:rPr/>
            </w:pPr>
            <w:r>
              <w:rPr/>
              <w:t>)</w:t>
            </w:r>
          </w:p>
        </w:tc>
      </w:tr>
      <w:tr>
        <w:trPr/>
        <w:tc>
          <w:tcPr>
            <w:tcW w:w="4070" w:type="dxa"/>
            <w:tcBorders/>
            <w:shd w:fill="FFFFFF" w:val="clear"/>
            <w:vAlign w:val="center"/>
          </w:tcPr>
          <w:p>
            <w:pPr>
              <w:pStyle w:val="TableContents"/>
              <w:bidi w:val="0"/>
              <w:spacing w:before="0" w:after="283"/>
              <w:jc w:val="both"/>
              <w:rPr>
                <w:b/>
              </w:rPr>
            </w:pPr>
            <w:r>
              <w:rPr>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3,325,000</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Fair value change on long-term investment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3,325,000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 is the Group’s equity investment in a privately held company, over which the Group has the ability to exert significant influence but does not otherwise have control. While this investment is eligible for the equity method of accounting, the Group has elected to account for it using the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15, 2025, the Group entered into a Share Purchase Agreement (the “Tongxin SPA”) to acquire 3,000 ordinary shares of Tongxin Innovation Limited (“Tongxin”), a Hong Kong private company, representing 30% of the total issued and outstanding shares of Tongxin. Pursuant to the Tongxin SPA, the nominal consideration for the investment was US$3,079,700, consisting of 104,000,000 of the Group’s Class B ordinary shares. The initial measurement of the investment was based on the fair value of the 104,000,000 Class B ordinary shares issued on August 26, 2025, which was determined to be the acquisition date. The initial fair value was assessed at US$7,097,000 (incorporating a discount for lack of marketability due to the restricted nature of the shares issued), which was recognized as the initial cost of the investment.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qualified for and elected to account for the investment in Tongxin under the fair value option in accordance with ASC 825. The Group believes that the fair value option better reflects the underlying economics of the investment in Tongxin. As of June 30, 2026, the fair value of the investment was US$3,325,000. No unrealized gains or losses were recognized in “gain on fair value change” in the consolidated statements of operations and comprehensive loss for the six months ended June 30,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2025, the Group and Aliska Business Advisory and Research Limited (“ABAR”) entered into a joint venture agreement to establish Trident Aliska Digital Tech Ghana Ltd (“Trident Aliska”) in Ghana, with the Group holding 50% and ABAR holding 50%. The Group accounts for Trident Aliska using the equity method in accordance with ASC 323-10. As of June 30, 2026, the Group had not made any capital contribution to Trident Aliska, resulting in a zero carrying amount for its equity investment. For the six months ended June 30, 2026, the Group recognized its proportionate share of Trident Aliska’s net losses of US$319,017. These losses were applied to reduce the carrying amount of its other investments in the joint venture, which consisted of outstanding advances presented as amounts due from related parties.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 of investment in Tongxin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investment in Tongxin is accounted for using fair value option on a recurring basis using significant unobservable inputs(Level 3) for the six months ended June 30, 2026. The fair value as of June 30, 2026 was determined using the income approach, specifically the discounted cash flow (“DCF”) method. This method involves estimating the future net cash flows of Tongxin and discounting them to their present value using an appropriate risk-adjusted discount rate.</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about the significant unobservable inputs used in the Level 3 fair value measurement of the investment in Tongxin as of June 30, 2026:</w:t>
      </w:r>
    </w:p>
    <w:p>
      <w:pPr>
        <w:pStyle w:val="TextBody"/>
        <w:bidi w:val="0"/>
        <w:spacing w:before="0" w:after="0"/>
        <w:ind w:left="0" w:right="0" w:firstLine="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1"/>
        <w:gridCol w:w="60"/>
        <w:gridCol w:w="61"/>
        <w:gridCol w:w="1012"/>
        <w:gridCol w:w="60"/>
        <w:gridCol w:w="60"/>
        <w:gridCol w:w="1918"/>
        <w:gridCol w:w="60"/>
        <w:gridCol w:w="2799"/>
        <w:gridCol w:w="60"/>
        <w:gridCol w:w="74"/>
        <w:gridCol w:w="546"/>
        <w:gridCol w:w="234"/>
      </w:tblGrid>
      <w:tr>
        <w:trPr/>
        <w:tc>
          <w:tcPr>
            <w:tcW w:w="32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br/>
              <w:t xml:space="preserve">as of </w:t>
              <w:br/>
              <w:t xml:space="preserve">June 30,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18" w:type="dxa"/>
            <w:tcBorders>
              <w:bottom w:val="single" w:sz="12" w:space="0" w:color="000000"/>
            </w:tcBorders>
            <w:tcMar>
              <w:bottom w:w="28" w:type="dxa"/>
            </w:tcMar>
            <w:vAlign w:val="center"/>
          </w:tcPr>
          <w:p>
            <w:pPr>
              <w:pStyle w:val="TableContents"/>
              <w:bidi w:val="0"/>
              <w:spacing w:before="0" w:after="283"/>
              <w:jc w:val="center"/>
              <w:rPr>
                <w:b/>
              </w:rPr>
            </w:pPr>
            <w:r>
              <w:rPr>
                <w:b/>
              </w:rPr>
              <w:t>Valuation</w:t>
              <w:br/>
              <w:t>Technique</w:t>
            </w:r>
          </w:p>
        </w:tc>
        <w:tc>
          <w:tcPr>
            <w:tcW w:w="60" w:type="dxa"/>
            <w:tcBorders/>
            <w:vAlign w:val="center"/>
          </w:tcPr>
          <w:p>
            <w:pPr>
              <w:pStyle w:val="TableContents"/>
              <w:bidi w:val="0"/>
              <w:spacing w:before="0" w:after="283"/>
              <w:jc w:val="center"/>
              <w:rPr/>
            </w:pPr>
            <w:r>
              <w:rPr/>
              <w:t> </w:t>
            </w:r>
          </w:p>
        </w:tc>
        <w:tc>
          <w:tcPr>
            <w:tcW w:w="2799" w:type="dxa"/>
            <w:tcBorders>
              <w:bottom w:val="single" w:sz="12" w:space="0" w:color="000000"/>
            </w:tcBorders>
            <w:tcMar>
              <w:bottom w:w="28" w:type="dxa"/>
            </w:tcMar>
            <w:vAlign w:val="center"/>
          </w:tcPr>
          <w:p>
            <w:pPr>
              <w:pStyle w:val="TableContents"/>
              <w:bidi w:val="0"/>
              <w:spacing w:before="0" w:after="283"/>
              <w:jc w:val="center"/>
              <w:rPr>
                <w:b/>
              </w:rPr>
            </w:pPr>
            <w:r>
              <w:rPr>
                <w:b/>
              </w:rPr>
              <w:t>Significant</w:t>
              <w:br/>
              <w:t>Unobservable</w:t>
              <w:br/>
              <w:t>Inputs</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234" w:type="dxa"/>
            <w:tcBorders/>
            <w:vAlign w:val="center"/>
          </w:tcPr>
          <w:p>
            <w:pPr>
              <w:pStyle w:val="TableContents"/>
              <w:bidi w:val="0"/>
              <w:spacing w:before="0" w:after="283"/>
              <w:ind w:left="0" w:right="0" w:hanging="180"/>
              <w:jc w:val="center"/>
              <w:rPr/>
            </w:pPr>
            <w:r>
              <w:rPr/>
              <w:t> </w:t>
            </w:r>
          </w:p>
        </w:tc>
      </w:tr>
      <w:tr>
        <w:trPr/>
        <w:tc>
          <w:tcPr>
            <w:tcW w:w="3261" w:type="dxa"/>
            <w:tcBorders/>
            <w:shd w:fill="CCEEFF" w:val="clear"/>
            <w:vAlign w:val="center"/>
          </w:tcPr>
          <w:p>
            <w:pPr>
              <w:pStyle w:val="TableContents"/>
              <w:bidi w:val="0"/>
              <w:spacing w:before="0" w:after="283"/>
              <w:jc w:val="both"/>
              <w:rPr>
                <w:b/>
              </w:rPr>
            </w:pPr>
            <w:r>
              <w:rPr>
                <w:b/>
              </w:rPr>
              <w:t>Equity investment accounted for using fair value option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3,325,000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8" w:type="dxa"/>
            <w:tcBorders/>
            <w:shd w:fill="CCEEFF" w:val="clear"/>
            <w:vAlign w:val="center"/>
          </w:tcPr>
          <w:p>
            <w:pPr>
              <w:pStyle w:val="TableContents"/>
              <w:bidi w:val="0"/>
              <w:spacing w:before="0" w:after="283"/>
              <w:jc w:val="left"/>
              <w:rPr/>
            </w:pPr>
            <w:r>
              <w:rPr/>
              <w:t>Discounted cash flow method</w:t>
            </w:r>
          </w:p>
        </w:tc>
        <w:tc>
          <w:tcPr>
            <w:tcW w:w="60" w:type="dxa"/>
            <w:tcBorders/>
            <w:shd w:fill="CCEEFF" w:val="clear"/>
            <w:vAlign w:val="center"/>
          </w:tcPr>
          <w:p>
            <w:pPr>
              <w:pStyle w:val="TableContents"/>
              <w:bidi w:val="0"/>
              <w:spacing w:before="0" w:after="283"/>
              <w:jc w:val="left"/>
              <w:rPr/>
            </w:pPr>
            <w:r>
              <w:rPr/>
              <w:t> </w:t>
            </w:r>
          </w:p>
        </w:tc>
        <w:tc>
          <w:tcPr>
            <w:tcW w:w="2799" w:type="dxa"/>
            <w:tcBorders/>
            <w:shd w:fill="CCEEFF" w:val="clear"/>
            <w:vAlign w:val="center"/>
          </w:tcPr>
          <w:p>
            <w:pPr>
              <w:pStyle w:val="TableContents"/>
              <w:bidi w:val="0"/>
              <w:spacing w:before="0" w:after="283"/>
              <w:jc w:val="left"/>
              <w:rPr/>
            </w:pPr>
            <w:r>
              <w:rPr/>
              <w:t>Weighted average cost of capital (“WACC”)</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17.0</w:t>
            </w:r>
          </w:p>
        </w:tc>
        <w:tc>
          <w:tcPr>
            <w:tcW w:w="234" w:type="dxa"/>
            <w:tcBorders/>
            <w:shd w:fill="CCEEFF" w:val="clear"/>
            <w:vAlign w:val="center"/>
          </w:tcPr>
          <w:p>
            <w:pPr>
              <w:pStyle w:val="TableContents"/>
              <w:bidi w:val="0"/>
              <w:spacing w:before="0" w:after="283"/>
              <w:jc w:val="left"/>
              <w:rPr/>
            </w:pPr>
            <w:r>
              <w:rPr/>
              <w:t>%</w:t>
            </w:r>
          </w:p>
        </w:tc>
      </w:tr>
      <w:tr>
        <w:trPr/>
        <w:tc>
          <w:tcPr>
            <w:tcW w:w="326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99" w:type="dxa"/>
            <w:tcBorders/>
            <w:shd w:fill="FFFFFF" w:val="clear"/>
            <w:vAlign w:val="center"/>
          </w:tcPr>
          <w:p>
            <w:pPr>
              <w:pStyle w:val="TableContents"/>
              <w:bidi w:val="0"/>
              <w:spacing w:before="0" w:after="283"/>
              <w:jc w:val="left"/>
              <w:rPr/>
            </w:pPr>
            <w:r>
              <w:rPr/>
              <w:t>Discount for lack of marketability (“DLOM”)</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pPr>
            <w:r>
              <w:rPr/>
              <w:t>15.7</w:t>
            </w:r>
          </w:p>
        </w:tc>
        <w:tc>
          <w:tcPr>
            <w:tcW w:w="234" w:type="dxa"/>
            <w:tcBorders/>
            <w:shd w:fill="FFFFFF" w:val="clear"/>
            <w:vAlign w:val="center"/>
          </w:tcPr>
          <w:p>
            <w:pPr>
              <w:pStyle w:val="TableContents"/>
              <w:bidi w:val="0"/>
              <w:spacing w:before="0" w:after="283"/>
              <w:jc w:val="left"/>
              <w:rPr/>
            </w:pPr>
            <w:r>
              <w:rPr/>
              <w:t>%</w:t>
            </w:r>
          </w:p>
        </w:tc>
      </w:tr>
      <w:tr>
        <w:trPr/>
        <w:tc>
          <w:tcPr>
            <w:tcW w:w="326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99" w:type="dxa"/>
            <w:tcBorders/>
            <w:shd w:fill="CCEEFF" w:val="clear"/>
            <w:vAlign w:val="center"/>
          </w:tcPr>
          <w:p>
            <w:pPr>
              <w:pStyle w:val="TableContents"/>
              <w:bidi w:val="0"/>
              <w:spacing w:before="0" w:after="283"/>
              <w:jc w:val="left"/>
              <w:rPr/>
            </w:pPr>
            <w:r>
              <w:rPr/>
              <w:t>Perpetual growth rate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right"/>
              <w:rPr/>
            </w:pPr>
            <w:r>
              <w:rPr/>
              <w:t>2.5</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sensitivity analysis of the fair value of equity investment elected under the fair value option indicates that, with all other variables held constant, an increase/decrease of 0.5% in the weighted average cost of capital (“WACC”) would cause the fair value of the investments to decrease/increase by approximately 4%/5%, respectively; an increase/decrease of 5% in the discount for lack of marketability (“DLOM”) would cause the fair value to decrease/increase by approximately 6%, respectively; and an increase/decrease of 0.5% in the perpetual growth rate would cause the fair value to increase/decrease by approximately 3%, respectively. </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215"/>
        <w:gridCol w:w="6995"/>
      </w:tblGrid>
      <w:tr>
        <w:trPr/>
        <w:tc>
          <w:tcPr>
            <w:tcW w:w="215" w:type="dxa"/>
            <w:tcBorders/>
            <w:vAlign w:val="center"/>
          </w:tcPr>
          <w:p>
            <w:pPr>
              <w:pStyle w:val="TableContents"/>
              <w:bidi w:val="0"/>
              <w:spacing w:before="0" w:after="283"/>
              <w:jc w:val="left"/>
              <w:rPr>
                <w:b/>
              </w:rPr>
            </w:pPr>
            <w:r>
              <w:rPr>
                <w:b/>
              </w:rPr>
              <w:t>8.</w:t>
            </w:r>
          </w:p>
        </w:tc>
        <w:tc>
          <w:tcPr>
            <w:tcW w:w="6995" w:type="dxa"/>
            <w:tcBorders/>
            <w:vAlign w:val="center"/>
          </w:tcPr>
          <w:p>
            <w:pPr>
              <w:pStyle w:val="TableContents"/>
              <w:bidi w:val="0"/>
              <w:spacing w:before="0" w:after="283"/>
              <w:jc w:val="both"/>
              <w:rPr>
                <w:b/>
              </w:rPr>
            </w:pPr>
            <w:r>
              <w:rPr>
                <w:b/>
              </w:rPr>
              <w:t>ACCRUED EXPENSES AND OTHER CURRENT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999" w:type="dxa"/>
        <w:jc w:val="left"/>
        <w:tblInd w:w="0" w:type="dxa"/>
        <w:tblLayout w:type="fixed"/>
        <w:tblCellMar>
          <w:top w:w="0" w:type="dxa"/>
          <w:left w:w="0" w:type="dxa"/>
          <w:bottom w:w="0" w:type="dxa"/>
          <w:right w:w="0" w:type="dxa"/>
        </w:tblCellMar>
      </w:tblPr>
      <w:tblGrid>
        <w:gridCol w:w="5210"/>
        <w:gridCol w:w="60"/>
        <w:gridCol w:w="140"/>
        <w:gridCol w:w="980"/>
        <w:gridCol w:w="60"/>
        <w:gridCol w:w="60"/>
        <w:gridCol w:w="210"/>
        <w:gridCol w:w="1204"/>
        <w:gridCol w:w="75"/>
      </w:tblGrid>
      <w:tr>
        <w:trPr/>
        <w:tc>
          <w:tcPr>
            <w:tcW w:w="52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 xml:space="preserve">As of </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center"/>
              <w:rPr/>
            </w:pPr>
            <w:r>
              <w:rPr/>
              <w:t> </w:t>
            </w:r>
          </w:p>
        </w:tc>
      </w:tr>
      <w:tr>
        <w:trPr/>
        <w:tc>
          <w:tcPr>
            <w:tcW w:w="5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and professional expenses payable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355,850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both"/>
              <w:rPr/>
            </w:pPr>
            <w:r>
              <w:rPr/>
              <w:t>Payroll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705,106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111,236</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pPr>
            <w:r>
              <w:rPr/>
              <w:t>Interest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344,098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49,118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payables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282,641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154,614</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b/>
              </w:rPr>
            </w:pPr>
            <w:r>
              <w:rPr>
                <w:b/>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1,510,845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670,818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mainly consisted of legal services fee for post-IPO compliance consulting and professional fees associated with the issuance for convertible promissory note.</w:t>
            </w:r>
          </w:p>
        </w:tc>
      </w:tr>
    </w:tbl>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60"/>
        <w:gridCol w:w="974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mainly consisted of reimbursement payables to employees and service fee payables to third party suppliers.</w:t>
            </w:r>
          </w:p>
        </w:tc>
      </w:tr>
    </w:tbl>
    <w:p>
      <w:pPr>
        <w:pStyle w:val="TextBody"/>
        <w:bidi w:val="0"/>
        <w:spacing w:before="0" w:after="0"/>
        <w:ind w:left="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15"/>
        <w:gridCol w:w="980"/>
      </w:tblGrid>
      <w:tr>
        <w:trPr/>
        <w:tc>
          <w:tcPr>
            <w:tcW w:w="215" w:type="dxa"/>
            <w:tcBorders/>
            <w:vAlign w:val="center"/>
          </w:tcPr>
          <w:p>
            <w:pPr>
              <w:pStyle w:val="TableContents"/>
              <w:bidi w:val="0"/>
              <w:spacing w:before="0" w:after="283"/>
              <w:jc w:val="left"/>
              <w:rPr>
                <w:b/>
              </w:rPr>
            </w:pPr>
            <w:r>
              <w:rPr>
                <w:b/>
              </w:rPr>
              <w:t>9.</w:t>
            </w:r>
          </w:p>
        </w:tc>
        <w:tc>
          <w:tcPr>
            <w:tcW w:w="98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lease cost recognized in the Group’s consolidated statements of operations and comprehensive loss is as follows:</w:t>
      </w:r>
    </w:p>
    <w:p>
      <w:pPr>
        <w:pStyle w:val="TextBody"/>
        <w:bidi w:val="0"/>
        <w:spacing w:before="0" w:after="0"/>
        <w:ind w:left="0" w:right="0" w:firstLine="360"/>
        <w:jc w:val="both"/>
        <w:rPr>
          <w:caps w:val="false"/>
          <w:smallCaps w:val="false"/>
        </w:rPr>
      </w:pPr>
      <w:r>
        <w:rPr>
          <w:caps w:val="false"/>
          <w:smallCaps w:val="false"/>
        </w:rPr>
        <w:t> </w:t>
      </w:r>
    </w:p>
    <w:tbl>
      <w:tblPr>
        <w:tblW w:w="4747" w:type="dxa"/>
        <w:jc w:val="left"/>
        <w:tblInd w:w="0" w:type="dxa"/>
        <w:tblLayout w:type="fixed"/>
        <w:tblCellMar>
          <w:top w:w="0" w:type="dxa"/>
          <w:left w:w="0" w:type="dxa"/>
          <w:bottom w:w="0" w:type="dxa"/>
          <w:right w:w="0" w:type="dxa"/>
        </w:tblCellMar>
      </w:tblPr>
      <w:tblGrid>
        <w:gridCol w:w="2030"/>
        <w:gridCol w:w="60"/>
        <w:gridCol w:w="180"/>
        <w:gridCol w:w="1034"/>
        <w:gridCol w:w="77"/>
        <w:gridCol w:w="77"/>
        <w:gridCol w:w="180"/>
        <w:gridCol w:w="1034"/>
        <w:gridCol w:w="75"/>
      </w:tblGrid>
      <w:tr>
        <w:trPr/>
        <w:tc>
          <w:tcPr>
            <w:tcW w:w="2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center"/>
              <w:rPr/>
            </w:pPr>
            <w:r>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both"/>
              <w:rPr/>
            </w:pPr>
            <w:r>
              <w:rPr/>
              <w:t>Operating leases cost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269,991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202,730</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269,991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202,730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flows information related to leases was as follows:</w:t>
      </w:r>
    </w:p>
    <w:p>
      <w:pPr>
        <w:pStyle w:val="TextBody"/>
        <w:bidi w:val="0"/>
        <w:spacing w:before="0" w:after="0"/>
        <w:ind w:left="720" w:right="0" w:hanging="0"/>
        <w:jc w:val="both"/>
        <w:rPr>
          <w:caps w:val="false"/>
          <w:smallCaps w:val="false"/>
        </w:rPr>
      </w:pPr>
      <w:r>
        <w:rPr>
          <w:caps w:val="false"/>
          <w:smallCaps w:val="false"/>
        </w:rPr>
        <w:t> </w:t>
      </w:r>
    </w:p>
    <w:tbl>
      <w:tblPr>
        <w:tblW w:w="8512" w:type="dxa"/>
        <w:jc w:val="left"/>
        <w:tblInd w:w="0" w:type="dxa"/>
        <w:tblLayout w:type="fixed"/>
        <w:tblCellMar>
          <w:top w:w="0" w:type="dxa"/>
          <w:left w:w="0" w:type="dxa"/>
          <w:bottom w:w="0" w:type="dxa"/>
          <w:right w:w="0" w:type="dxa"/>
        </w:tblCellMar>
      </w:tblPr>
      <w:tblGrid>
        <w:gridCol w:w="5795"/>
        <w:gridCol w:w="60"/>
        <w:gridCol w:w="180"/>
        <w:gridCol w:w="1034"/>
        <w:gridCol w:w="77"/>
        <w:gridCol w:w="77"/>
        <w:gridCol w:w="180"/>
        <w:gridCol w:w="1034"/>
        <w:gridCol w:w="75"/>
      </w:tblGrid>
      <w:tr>
        <w:trPr/>
        <w:tc>
          <w:tcPr>
            <w:tcW w:w="57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center"/>
              <w:rPr/>
            </w:pPr>
            <w:r>
              <w:rPr/>
              <w:t> </w:t>
            </w:r>
          </w:p>
        </w:tc>
      </w:tr>
      <w:tr>
        <w:trPr/>
        <w:tc>
          <w:tcPr>
            <w:tcW w:w="5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center"/>
              <w:rPr/>
            </w:pPr>
            <w:r>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both"/>
              <w:rPr/>
            </w:pPr>
            <w:r>
              <w:rPr/>
              <w:t>Cash paid for amounts included in measurement of liabilities:</w:t>
            </w:r>
          </w:p>
        </w:tc>
        <w:tc>
          <w:tcPr>
            <w:tcW w:w="60" w:type="dxa"/>
            <w:tcBorders/>
            <w:vAlign w:val="center"/>
          </w:tcPr>
          <w:p>
            <w:pPr>
              <w:pStyle w:val="TableContents"/>
              <w:bidi w:val="0"/>
              <w:spacing w:before="0" w:after="283"/>
              <w:jc w:val="left"/>
              <w:rPr/>
            </w:pPr>
            <w:r>
              <w:rPr/>
              <w:t> </w:t>
            </w:r>
          </w:p>
        </w:tc>
        <w:tc>
          <w:tcPr>
            <w:tcW w:w="1214" w:type="dxa"/>
            <w:gridSpan w:val="2"/>
            <w:tcBorders/>
            <w:vAlign w:val="center"/>
          </w:tcPr>
          <w:p>
            <w:pPr>
              <w:pStyle w:val="TableContents"/>
              <w:bidi w:val="0"/>
              <w:spacing w:before="0" w:after="283"/>
              <w:jc w:val="both"/>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1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both"/>
              <w:rPr/>
            </w:pPr>
            <w:r>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273,482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185,800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31,2025, the weighted average remaining lease term was 1.45 years and 1.91 years and, respectively, and the weighted average discount rate was 5.5% and 5.3% for the Group’s operating leases,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maturity of lease liabilities under operating leases as of June 30, 2026:</w:t>
      </w:r>
    </w:p>
    <w:p>
      <w:pPr>
        <w:pStyle w:val="TextBody"/>
        <w:bidi w:val="0"/>
        <w:spacing w:before="0" w:after="0"/>
        <w:ind w:left="0" w:right="0" w:firstLine="36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170"/>
        <w:gridCol w:w="60"/>
        <w:gridCol w:w="150"/>
        <w:gridCol w:w="860"/>
        <w:gridCol w:w="75"/>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w:t>
              <w:br/>
              <w:t>Payments</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For the remaining period of 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272,474</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394,643</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70,000</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b/>
              </w:rPr>
            </w:pPr>
            <w:r>
              <w:rPr>
                <w:b/>
              </w:rPr>
              <w:t>Total lease payments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b/>
              </w:rPr>
            </w:pPr>
            <w:r>
              <w:rPr>
                <w:b/>
              </w:rPr>
              <w:t>737,117</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34,532</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b/>
              </w:rPr>
            </w:pPr>
            <w:r>
              <w:rPr>
                <w:b/>
              </w:rPr>
              <w:t>702,585</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517,542</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pPr>
            <w:r>
              <w:rPr/>
              <w:t>185,043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35"/>
        <w:gridCol w:w="1355"/>
      </w:tblGrid>
      <w:tr>
        <w:trPr/>
        <w:tc>
          <w:tcPr>
            <w:tcW w:w="335" w:type="dxa"/>
            <w:tcBorders/>
            <w:vAlign w:val="center"/>
          </w:tcPr>
          <w:p>
            <w:pPr>
              <w:pStyle w:val="TableContents"/>
              <w:bidi w:val="0"/>
              <w:spacing w:before="0" w:after="283"/>
              <w:jc w:val="left"/>
              <w:rPr>
                <w:b/>
              </w:rPr>
            </w:pPr>
            <w:r>
              <w:rPr>
                <w:b/>
              </w:rPr>
              <w:t>10.</w:t>
            </w:r>
          </w:p>
        </w:tc>
        <w:tc>
          <w:tcPr>
            <w:tcW w:w="1355" w:type="dxa"/>
            <w:tcBorders/>
            <w:vAlign w:val="center"/>
          </w:tcPr>
          <w:p>
            <w:pPr>
              <w:pStyle w:val="TableContents"/>
              <w:bidi w:val="0"/>
              <w:spacing w:before="0" w:after="283"/>
              <w:jc w:val="both"/>
              <w:rPr>
                <w:b/>
              </w:rPr>
            </w:pPr>
            <w:r>
              <w:rPr>
                <w:b/>
              </w:rPr>
              <w:t>TAXATION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Trident Digital Tech Pte. Ltd. and Quality Zone Technologies Pte. Ltd. are located in Singapore and are subject to 17% statutory income tax rate with respect to the profit generated from Singapore.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Trident DRC is located in the “DRC” and is subject to a statutory corporate income tax rate of 30% on its taxable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 for the six months ended June 30, 2026 and 2025, is attributable to the following geographic locations:</w:t>
      </w:r>
    </w:p>
    <w:p>
      <w:pPr>
        <w:pStyle w:val="TextBody"/>
        <w:bidi w:val="0"/>
        <w:spacing w:before="0" w:after="0"/>
        <w:ind w:left="0" w:right="0" w:hanging="0"/>
        <w:jc w:val="both"/>
        <w:rPr>
          <w:caps w:val="false"/>
          <w:smallCaps w:val="false"/>
        </w:rPr>
      </w:pPr>
      <w:r>
        <w:rPr>
          <w:caps w:val="false"/>
          <w:smallCaps w:val="false"/>
        </w:rPr>
        <w:t> </w:t>
      </w:r>
    </w:p>
    <w:tbl>
      <w:tblPr>
        <w:tblW w:w="6665" w:type="dxa"/>
        <w:jc w:val="left"/>
        <w:tblInd w:w="0" w:type="dxa"/>
        <w:tblLayout w:type="fixed"/>
        <w:tblCellMar>
          <w:top w:w="0" w:type="dxa"/>
          <w:left w:w="0" w:type="dxa"/>
          <w:bottom w:w="0" w:type="dxa"/>
          <w:right w:w="0" w:type="dxa"/>
        </w:tblCellMar>
      </w:tblPr>
      <w:tblGrid>
        <w:gridCol w:w="3710"/>
        <w:gridCol w:w="60"/>
        <w:gridCol w:w="140"/>
        <w:gridCol w:w="1175"/>
        <w:gridCol w:w="95"/>
        <w:gridCol w:w="60"/>
        <w:gridCol w:w="140"/>
        <w:gridCol w:w="1175"/>
        <w:gridCol w:w="11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both"/>
              <w:rPr/>
            </w:pPr>
            <w:r>
              <w:rPr/>
              <w:t>Singapore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(12,144,243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(4,415,133</w:t>
            </w:r>
          </w:p>
        </w:tc>
        <w:tc>
          <w:tcPr>
            <w:tcW w:w="110" w:type="dxa"/>
            <w:tcBorders/>
            <w:shd w:fill="CCEEFF" w:val="clear"/>
            <w:vAlign w:val="center"/>
          </w:tcPr>
          <w:p>
            <w:pPr>
              <w:pStyle w:val="TableContents"/>
              <w:bidi w:val="0"/>
              <w:spacing w:before="0" w:after="283"/>
              <w:jc w:val="left"/>
              <w:rPr/>
            </w:pPr>
            <w:r>
              <w:rPr/>
              <w:t>)</w:t>
            </w:r>
          </w:p>
        </w:tc>
      </w:tr>
      <w:tr>
        <w:trPr/>
        <w:tc>
          <w:tcPr>
            <w:tcW w:w="3710" w:type="dxa"/>
            <w:tcBorders/>
            <w:shd w:fill="FFFFFF" w:val="clear"/>
            <w:vAlign w:val="center"/>
          </w:tcPr>
          <w:p>
            <w:pPr>
              <w:pStyle w:val="TableContents"/>
              <w:bidi w:val="0"/>
              <w:spacing w:before="0" w:after="283"/>
              <w:jc w:val="both"/>
              <w:rPr/>
            </w:pPr>
            <w:r>
              <w:rPr/>
              <w:t>Cayman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(384,095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(6,856,415</w:t>
            </w:r>
          </w:p>
        </w:tc>
        <w:tc>
          <w:tcPr>
            <w:tcW w:w="110" w:type="dxa"/>
            <w:tcBorders/>
            <w:shd w:fill="FFFFFF" w:val="clear"/>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both"/>
              <w:rPr/>
            </w:pPr>
            <w:r>
              <w:rPr/>
              <w:t>DRC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(284,229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both"/>
              <w:rPr>
                <w:b/>
              </w:rPr>
            </w:pPr>
            <w:r>
              <w:rPr>
                <w:b/>
              </w:rPr>
              <w:t>Total 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(12,812,567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(11,271,548</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expense/(benefit) are as follows:</w:t>
      </w:r>
    </w:p>
    <w:p>
      <w:pPr>
        <w:pStyle w:val="TextBody"/>
        <w:bidi w:val="0"/>
        <w:spacing w:before="0" w:after="0"/>
        <w:ind w:left="0" w:right="0" w:firstLine="36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3410"/>
        <w:gridCol w:w="60"/>
        <w:gridCol w:w="281"/>
        <w:gridCol w:w="1518"/>
        <w:gridCol w:w="191"/>
        <w:gridCol w:w="120"/>
        <w:gridCol w:w="297"/>
        <w:gridCol w:w="203"/>
        <w:gridCol w:w="27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both"/>
              <w:rPr/>
            </w:pPr>
            <w:r>
              <w:rPr/>
              <w:t>Current income tax expense</w:t>
            </w:r>
          </w:p>
        </w:tc>
        <w:tc>
          <w:tcPr>
            <w:tcW w:w="60" w:type="dxa"/>
            <w:tcBorders/>
            <w:vAlign w:val="center"/>
          </w:tcPr>
          <w:p>
            <w:pPr>
              <w:pStyle w:val="TableContents"/>
              <w:bidi w:val="0"/>
              <w:spacing w:before="0" w:after="283"/>
              <w:jc w:val="left"/>
              <w:rPr/>
            </w:pPr>
            <w:r>
              <w:rPr/>
              <w:t> </w:t>
            </w:r>
          </w:p>
        </w:tc>
        <w:tc>
          <w:tcPr>
            <w:tcW w:w="1799" w:type="dxa"/>
            <w:gridSpan w:val="2"/>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ind w:left="0" w:right="0" w:firstLine="200"/>
              <w:jc w:val="left"/>
              <w:rPr/>
            </w:pPr>
            <w:r>
              <w:rPr/>
              <w:t> </w:t>
            </w:r>
          </w:p>
        </w:tc>
      </w:tr>
      <w:tr>
        <w:trPr/>
        <w:tc>
          <w:tcPr>
            <w:tcW w:w="3410" w:type="dxa"/>
            <w:tcBorders/>
            <w:shd w:fill="CCEEFF" w:val="clear"/>
            <w:vAlign w:val="center"/>
          </w:tcPr>
          <w:p>
            <w:pPr>
              <w:pStyle w:val="TableContents"/>
              <w:bidi w:val="0"/>
              <w:spacing w:before="0" w:after="283"/>
              <w:jc w:val="both"/>
              <w:rPr/>
            </w:pPr>
            <w:r>
              <w:rPr/>
              <w:t>Singapore</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518"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2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410" w:type="dxa"/>
            <w:tcBorders/>
            <w:shd w:fill="FFFFFF" w:val="clear"/>
            <w:vAlign w:val="center"/>
          </w:tcPr>
          <w:p>
            <w:pPr>
              <w:pStyle w:val="TableContents"/>
              <w:bidi w:val="0"/>
              <w:spacing w:before="0" w:after="283"/>
              <w:jc w:val="both"/>
              <w:rPr/>
            </w:pPr>
            <w:r>
              <w:rPr/>
              <w:t>Cayman</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3410" w:type="dxa"/>
            <w:tcBorders/>
            <w:shd w:fill="CCEEFF" w:val="clear"/>
            <w:vAlign w:val="center"/>
          </w:tcPr>
          <w:p>
            <w:pPr>
              <w:pStyle w:val="TableContents"/>
              <w:bidi w:val="0"/>
              <w:spacing w:before="0" w:after="283"/>
              <w:jc w:val="both"/>
              <w:rPr/>
            </w:pPr>
            <w:r>
              <w:rPr/>
              <w:t>DRC</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both"/>
              <w:rPr>
                <w:b/>
              </w:rPr>
            </w:pPr>
            <w:r>
              <w:rPr>
                <w:b/>
              </w:rPr>
              <w:t>Total current income tax expense</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both"/>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410" w:type="dxa"/>
            <w:tcBorders/>
            <w:shd w:fill="FFFFFF" w:val="clear"/>
            <w:vAlign w:val="center"/>
          </w:tcPr>
          <w:p>
            <w:pPr>
              <w:pStyle w:val="TableContents"/>
              <w:bidi w:val="0"/>
              <w:spacing w:before="0" w:after="283"/>
              <w:jc w:val="both"/>
              <w:rPr/>
            </w:pPr>
            <w:r>
              <w:rPr/>
              <w:t>Singapore</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3410" w:type="dxa"/>
            <w:tcBorders/>
            <w:shd w:fill="CCEEFF" w:val="clear"/>
            <w:vAlign w:val="center"/>
          </w:tcPr>
          <w:p>
            <w:pPr>
              <w:pStyle w:val="TableContents"/>
              <w:bidi w:val="0"/>
              <w:spacing w:before="0" w:after="283"/>
              <w:jc w:val="both"/>
              <w:rPr/>
            </w:pPr>
            <w:r>
              <w:rPr/>
              <w:t>Cayman</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410" w:type="dxa"/>
            <w:tcBorders/>
            <w:shd w:fill="FFFFFF" w:val="clear"/>
            <w:vAlign w:val="center"/>
          </w:tcPr>
          <w:p>
            <w:pPr>
              <w:pStyle w:val="TableContents"/>
              <w:bidi w:val="0"/>
              <w:spacing w:before="0" w:after="283"/>
              <w:jc w:val="both"/>
              <w:rPr/>
            </w:pPr>
            <w:r>
              <w:rPr/>
              <w:t>DRC</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8" w:type="dxa"/>
            <w:tcBorders>
              <w:bottom w:val="single" w:sz="12" w:space="0" w:color="000000"/>
            </w:tcBorders>
            <w:shd w:fill="FFFFFF" w:val="clear"/>
            <w:tcMar>
              <w:bottom w:w="28" w:type="dxa"/>
            </w:tcMar>
            <w:vAlign w:val="center"/>
          </w:tcPr>
          <w:p>
            <w:pPr>
              <w:pStyle w:val="TableContents"/>
              <w:bidi w:val="0"/>
              <w:spacing w:before="0" w:after="283"/>
              <w:jc w:val="right"/>
              <w:rPr/>
            </w:pPr>
            <w:r>
              <w:rPr/>
              <w:t>(85,269</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both"/>
              <w:rPr>
                <w:b/>
              </w:rPr>
            </w:pPr>
            <w:r>
              <w:rPr>
                <w:b/>
              </w:rPr>
              <w:t>Total deferred income tax benefit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b/>
              </w:rPr>
            </w:pPr>
            <w:r>
              <w:rPr>
                <w:b/>
              </w:rPr>
              <w:t>(85,269</w:t>
            </w:r>
          </w:p>
        </w:tc>
        <w:tc>
          <w:tcPr>
            <w:tcW w:w="191" w:type="dxa"/>
            <w:tcBorders/>
            <w:shd w:fill="CCEEFF" w:val="clear"/>
            <w:vAlign w:val="center"/>
          </w:tcPr>
          <w:p>
            <w:pPr>
              <w:pStyle w:val="TableContents"/>
              <w:bidi w:val="0"/>
              <w:spacing w:before="0" w:after="283"/>
              <w:jc w:val="left"/>
              <w:rPr>
                <w:b/>
              </w:rPr>
            </w:pPr>
            <w:r>
              <w:rPr>
                <w:b/>
              </w:rPr>
              <w:t>)</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b/>
              </w:rPr>
            </w:pPr>
            <w:r>
              <w:rPr>
                <w:b/>
              </w:rPr>
              <w:t>-</w:t>
            </w:r>
          </w:p>
        </w:tc>
        <w:tc>
          <w:tcPr>
            <w:tcW w:w="2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both"/>
              <w:rPr/>
            </w:pPr>
            <w:r>
              <w:rPr/>
              <w:t>Total income tax expense/(benefit)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3410" w:type="dxa"/>
            <w:tcBorders/>
            <w:shd w:fill="CCEEFF" w:val="clear"/>
            <w:vAlign w:val="center"/>
          </w:tcPr>
          <w:p>
            <w:pPr>
              <w:pStyle w:val="TableContents"/>
              <w:bidi w:val="0"/>
              <w:spacing w:before="0" w:after="283"/>
              <w:jc w:val="both"/>
              <w:rPr/>
            </w:pPr>
            <w:r>
              <w:rPr/>
              <w:t>Singapore</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518"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410" w:type="dxa"/>
            <w:tcBorders/>
            <w:shd w:fill="FFFFFF" w:val="clear"/>
            <w:vAlign w:val="center"/>
          </w:tcPr>
          <w:p>
            <w:pPr>
              <w:pStyle w:val="TableContents"/>
              <w:bidi w:val="0"/>
              <w:spacing w:before="0" w:after="283"/>
              <w:jc w:val="both"/>
              <w:rPr/>
            </w:pPr>
            <w:r>
              <w:rPr/>
              <w:t>Cayman</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518"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3410" w:type="dxa"/>
            <w:tcBorders/>
            <w:shd w:fill="CCEEFF" w:val="clear"/>
            <w:vAlign w:val="center"/>
          </w:tcPr>
          <w:p>
            <w:pPr>
              <w:pStyle w:val="TableContents"/>
              <w:bidi w:val="0"/>
              <w:spacing w:before="0" w:after="283"/>
              <w:jc w:val="both"/>
              <w:rPr/>
            </w:pPr>
            <w:r>
              <w:rPr/>
              <w:t>DRC</w:t>
            </w:r>
          </w:p>
        </w:tc>
        <w:tc>
          <w:tcPr>
            <w:tcW w:w="60" w:type="dxa"/>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8" w:type="dxa"/>
            <w:tcBorders>
              <w:bottom w:val="single" w:sz="12" w:space="0" w:color="000000"/>
            </w:tcBorders>
            <w:shd w:fill="CCEEFF" w:val="clear"/>
            <w:tcMar>
              <w:bottom w:w="28" w:type="dxa"/>
            </w:tcMar>
            <w:vAlign w:val="center"/>
          </w:tcPr>
          <w:p>
            <w:pPr>
              <w:pStyle w:val="TableContents"/>
              <w:bidi w:val="0"/>
              <w:spacing w:before="0" w:after="283"/>
              <w:jc w:val="right"/>
              <w:rPr/>
            </w:pPr>
            <w:r>
              <w:rPr/>
              <w:t>(85,269</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both"/>
              <w:rPr/>
            </w:pPr>
            <w:r>
              <w:rPr>
                <w:b/>
              </w:rPr>
              <w:t>Total income tax</w:t>
            </w:r>
            <w:r>
              <w:rPr/>
              <w:t xml:space="preserve"> expense/(benefit)</w:t>
            </w:r>
          </w:p>
        </w:tc>
        <w:tc>
          <w:tcPr>
            <w:tcW w:w="60" w:type="dxa"/>
            <w:tcBorders/>
            <w:shd w:fill="FFFFFF" w:val="clear"/>
            <w:vAlign w:val="center"/>
          </w:tcPr>
          <w:p>
            <w:pPr>
              <w:pStyle w:val="TableContents"/>
              <w:bidi w:val="0"/>
              <w:spacing w:before="0" w:after="283"/>
              <w:jc w:val="left"/>
              <w:rPr/>
            </w:pPr>
            <w:r>
              <w:rPr/>
              <w:t> </w:t>
            </w:r>
          </w:p>
        </w:tc>
        <w:tc>
          <w:tcPr>
            <w:tcW w:w="28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(85,269</w:t>
            </w:r>
          </w:p>
        </w:tc>
        <w:tc>
          <w:tcPr>
            <w:tcW w:w="191" w:type="dxa"/>
            <w:tcBorders/>
            <w:shd w:fill="FFFFFF" w:val="clear"/>
            <w:vAlign w:val="center"/>
          </w:tcPr>
          <w:p>
            <w:pPr>
              <w:pStyle w:val="TableContents"/>
              <w:bidi w:val="0"/>
              <w:spacing w:before="0" w:after="283"/>
              <w:jc w:val="left"/>
              <w:rPr>
                <w:b/>
              </w:rPr>
            </w:pPr>
            <w:r>
              <w:rPr>
                <w:b/>
              </w:rPr>
              <w:t>)</w:t>
            </w:r>
          </w:p>
        </w:tc>
        <w:tc>
          <w:tcPr>
            <w:tcW w:w="120" w:type="dxa"/>
            <w:tcBorders/>
            <w:shd w:fill="FFFFFF" w:val="clear"/>
            <w:vAlign w:val="center"/>
          </w:tcPr>
          <w:p>
            <w:pPr>
              <w:pStyle w:val="TableContents"/>
              <w:bidi w:val="0"/>
              <w:spacing w:before="0" w:after="283"/>
              <w:jc w:val="left"/>
              <w:rPr/>
            </w:pPr>
            <w:r>
              <w:rPr/>
              <w:t> </w:t>
            </w:r>
          </w:p>
        </w:tc>
        <w:tc>
          <w:tcPr>
            <w:tcW w:w="29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adopted Accounting Standards Update 2023-09, Income Taxes (Topic 740): Improvements to Income Tax Disclosures (“ASU 2023-09”) prospectively. The items accounting for the difference between income taxes computed at the Singapore statutory rate and our effective rate for the six months ended June 30, 2026 and 2025, pursuant to the requirements of ASU 2023-09, were as follows:</w:t>
      </w:r>
    </w:p>
    <w:p>
      <w:pPr>
        <w:pStyle w:val="TextBody"/>
        <w:bidi w:val="0"/>
        <w:spacing w:before="0" w:after="0"/>
        <w:ind w:left="0" w:right="0" w:firstLine="360"/>
        <w:jc w:val="both"/>
        <w:rPr>
          <w:caps w:val="false"/>
          <w:smallCaps w:val="false"/>
        </w:rPr>
      </w:pPr>
      <w:r>
        <w:rPr>
          <w:caps w:val="false"/>
          <w:smallCaps w:val="false"/>
        </w:rPr>
        <w:t> </w:t>
      </w:r>
    </w:p>
    <w:tbl>
      <w:tblPr>
        <w:tblW w:w="10065" w:type="dxa"/>
        <w:jc w:val="left"/>
        <w:tblInd w:w="0" w:type="dxa"/>
        <w:tblLayout w:type="fixed"/>
        <w:tblCellMar>
          <w:top w:w="0" w:type="dxa"/>
          <w:left w:w="0" w:type="dxa"/>
          <w:bottom w:w="0" w:type="dxa"/>
          <w:right w:w="0" w:type="dxa"/>
        </w:tblCellMar>
      </w:tblPr>
      <w:tblGrid>
        <w:gridCol w:w="4925"/>
        <w:gridCol w:w="60"/>
        <w:gridCol w:w="140"/>
        <w:gridCol w:w="1175"/>
        <w:gridCol w:w="215"/>
        <w:gridCol w:w="60"/>
        <w:gridCol w:w="60"/>
        <w:gridCol w:w="440"/>
        <w:gridCol w:w="290"/>
        <w:gridCol w:w="60"/>
        <w:gridCol w:w="140"/>
        <w:gridCol w:w="1175"/>
        <w:gridCol w:w="215"/>
        <w:gridCol w:w="60"/>
        <w:gridCol w:w="60"/>
        <w:gridCol w:w="515"/>
        <w:gridCol w:w="475"/>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47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USD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USD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w:t>
            </w:r>
          </w:p>
        </w:tc>
        <w:tc>
          <w:tcPr>
            <w:tcW w:w="47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both"/>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(12,812,567</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75" w:type="dxa"/>
            <w:tcBorders/>
            <w:shd w:fill="CCEEFF" w:val="clear"/>
            <w:vAlign w:val="center"/>
          </w:tcPr>
          <w:p>
            <w:pPr>
              <w:pStyle w:val="TableContents"/>
              <w:bidi w:val="0"/>
              <w:spacing w:before="0" w:after="283"/>
              <w:jc w:val="right"/>
              <w:rPr>
                <w:b/>
              </w:rPr>
            </w:pPr>
            <w:r>
              <w:rPr>
                <w:b/>
              </w:rPr>
              <w:t>(11,271,548</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both"/>
              <w:rPr/>
            </w:pPr>
            <w:r>
              <w:rPr/>
              <w:t>Singapore statutory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both"/>
              <w:rPr/>
            </w:pPr>
            <w:r>
              <w:rPr/>
              <w:t>Income tax expenses computed at statutory EIT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(2,178,136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17.0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(1,916,163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17.0</w:t>
            </w:r>
          </w:p>
        </w:tc>
        <w:tc>
          <w:tcPr>
            <w:tcW w:w="475"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both"/>
              <w:rPr/>
            </w:pPr>
            <w:r>
              <w:rPr/>
              <w:t>Foreign tax effects: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both"/>
              <w:rPr/>
            </w:pPr>
            <w:r>
              <w:rPr/>
              <w:t>Cayman: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400"/>
              <w:jc w:val="left"/>
              <w:rPr/>
            </w:pPr>
            <w:r>
              <w:rPr/>
              <w:t> </w:t>
            </w:r>
          </w:p>
        </w:tc>
      </w:tr>
      <w:tr>
        <w:trPr/>
        <w:tc>
          <w:tcPr>
            <w:tcW w:w="4925" w:type="dxa"/>
            <w:tcBorders/>
            <w:shd w:fill="FFFFFF" w:val="clear"/>
            <w:vAlign w:val="center"/>
          </w:tcPr>
          <w:p>
            <w:pPr>
              <w:pStyle w:val="TableContents"/>
              <w:bidi w:val="0"/>
              <w:spacing w:before="0" w:after="283"/>
              <w:jc w:val="both"/>
              <w:rPr/>
            </w:pPr>
            <w:r>
              <w:rPr/>
              <w:t>Statutory tax rate diﬀerence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65,296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1,165,590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(10.3</w:t>
            </w:r>
          </w:p>
        </w:tc>
        <w:tc>
          <w:tcPr>
            <w:tcW w:w="475"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both"/>
              <w:rPr/>
            </w:pPr>
            <w:r>
              <w:rPr/>
              <w:t>DRC: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400"/>
              <w:jc w:val="left"/>
              <w:rPr/>
            </w:pPr>
            <w:r>
              <w:rPr/>
              <w:t> </w:t>
            </w:r>
          </w:p>
        </w:tc>
      </w:tr>
      <w:tr>
        <w:trPr/>
        <w:tc>
          <w:tcPr>
            <w:tcW w:w="4925" w:type="dxa"/>
            <w:tcBorders/>
            <w:shd w:fill="FFFFFF" w:val="clear"/>
            <w:vAlign w:val="center"/>
          </w:tcPr>
          <w:p>
            <w:pPr>
              <w:pStyle w:val="TableContents"/>
              <w:bidi w:val="0"/>
              <w:spacing w:before="0" w:after="283"/>
              <w:jc w:val="both"/>
              <w:rPr/>
            </w:pPr>
            <w:r>
              <w:rPr/>
              <w:t>Statutory tax rate diﬀerence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(36,950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0.0</w:t>
            </w:r>
          </w:p>
        </w:tc>
        <w:tc>
          <w:tcPr>
            <w:tcW w:w="475"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both"/>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1,258,857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(9.8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3,605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475"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805,664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(6.3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746,968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475"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both"/>
              <w:rPr>
                <w:b/>
              </w:rPr>
            </w:pPr>
            <w:r>
              <w:rPr>
                <w:b/>
              </w:rPr>
              <w:t>Income tax expenses/(benefits)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(85,269</w:t>
            </w:r>
          </w:p>
        </w:tc>
        <w:tc>
          <w:tcPr>
            <w:tcW w:w="21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0.7</w:t>
            </w:r>
          </w:p>
        </w:tc>
        <w:tc>
          <w:tcPr>
            <w:tcW w:w="29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w:t>
            </w:r>
          </w:p>
        </w:tc>
        <w:tc>
          <w:tcPr>
            <w:tcW w:w="4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significant components of the deferred tax assets are summarized below:</w:t>
      </w:r>
    </w:p>
    <w:p>
      <w:pPr>
        <w:pStyle w:val="TextBody"/>
        <w:bidi w:val="0"/>
        <w:spacing w:before="0" w:after="0"/>
        <w:ind w:left="0" w:right="0" w:firstLine="360"/>
        <w:jc w:val="both"/>
        <w:rPr>
          <w:caps w:val="false"/>
          <w:smallCaps w:val="false"/>
        </w:rPr>
      </w:pPr>
      <w:r>
        <w:rPr>
          <w:caps w:val="false"/>
          <w:smallCaps w:val="false"/>
        </w:rPr>
        <w:t> </w:t>
      </w:r>
    </w:p>
    <w:tbl>
      <w:tblPr>
        <w:tblW w:w="7649" w:type="dxa"/>
        <w:jc w:val="left"/>
        <w:tblInd w:w="0" w:type="dxa"/>
        <w:tblLayout w:type="fixed"/>
        <w:tblCellMar>
          <w:top w:w="0" w:type="dxa"/>
          <w:left w:w="0" w:type="dxa"/>
          <w:bottom w:w="0" w:type="dxa"/>
          <w:right w:w="0" w:type="dxa"/>
        </w:tblCellMar>
      </w:tblPr>
      <w:tblGrid>
        <w:gridCol w:w="4715"/>
        <w:gridCol w:w="60"/>
        <w:gridCol w:w="140"/>
        <w:gridCol w:w="1055"/>
        <w:gridCol w:w="95"/>
        <w:gridCol w:w="60"/>
        <w:gridCol w:w="165"/>
        <w:gridCol w:w="1249"/>
        <w:gridCol w:w="110"/>
      </w:tblGrid>
      <w:tr>
        <w:trPr/>
        <w:tc>
          <w:tcPr>
            <w:tcW w:w="47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As of</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110" w:type="dxa"/>
            <w:tcBorders/>
            <w:vAlign w:val="center"/>
          </w:tcPr>
          <w:p>
            <w:pPr>
              <w:pStyle w:val="TableContents"/>
              <w:bidi w:val="0"/>
              <w:spacing w:before="0" w:after="283"/>
              <w:jc w:val="center"/>
              <w:rPr/>
            </w:pPr>
            <w:r>
              <w:rPr/>
              <w:t> </w:t>
            </w:r>
          </w:p>
        </w:tc>
      </w:tr>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both"/>
              <w:rPr>
                <w:b/>
              </w:rPr>
            </w:pPr>
            <w:r>
              <w:rPr>
                <w:b/>
              </w:rPr>
              <w:t>Deferred tax assets:</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Net operating loss carried forward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5,714,181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4,869,609</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148,854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204,193</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67,821</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Bad debt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1,273</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5,114</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565,250</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281,758</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Deferred tax assets,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6,538,622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b/>
              </w:rPr>
            </w:pPr>
            <w:r>
              <w:rPr>
                <w:b/>
              </w:rPr>
              <w:t>5,995,018</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(5,990,197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(5,227,971</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both"/>
              <w:rPr>
                <w:b/>
              </w:rPr>
            </w:pPr>
            <w:r>
              <w:rPr>
                <w:b/>
              </w:rPr>
              <w:t>Deferred tax assets, net of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548,425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b/>
              </w:rPr>
            </w:pPr>
            <w:r>
              <w:rPr>
                <w:b/>
              </w:rPr>
              <w:t>767,047</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both"/>
              <w:rPr>
                <w:b/>
              </w:rPr>
            </w:pPr>
            <w:r>
              <w:rPr>
                <w:b/>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(148,854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(198,193</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both"/>
              <w:rPr/>
            </w:pPr>
            <w:r>
              <w:rPr/>
              <w:t>Contract cost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(27,643</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(309</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both"/>
              <w:rPr/>
            </w:pPr>
            <w:r>
              <w:rPr/>
              <w:t>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(191,246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(451,969</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both"/>
              <w:rPr>
                <w:b/>
              </w:rPr>
            </w:pPr>
            <w:r>
              <w:rPr>
                <w:b/>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(374,223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(678,114</w:t>
            </w:r>
          </w:p>
        </w:tc>
        <w:tc>
          <w:tcPr>
            <w:tcW w:w="110" w:type="dxa"/>
            <w:tcBorders/>
            <w:shd w:fill="CCEEFF" w:val="clear"/>
            <w:vAlign w:val="center"/>
          </w:tcPr>
          <w:p>
            <w:pPr>
              <w:pStyle w:val="TableContents"/>
              <w:bidi w:val="0"/>
              <w:spacing w:before="0" w:after="283"/>
              <w:jc w:val="left"/>
              <w:rPr>
                <w:b/>
              </w:rPr>
            </w:pPr>
            <w:r>
              <w:rPr>
                <w:b/>
              </w:rPr>
              <w:t>)</w:t>
            </w:r>
          </w:p>
        </w:tc>
      </w:tr>
      <w:tr>
        <w:trPr/>
        <w:tc>
          <w:tcPr>
            <w:tcW w:w="47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both"/>
              <w:rPr>
                <w:b/>
              </w:rPr>
            </w:pPr>
            <w:r>
              <w:rPr>
                <w:b/>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174,202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88,933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roll forward of valuation allowances of deferred tax assets were as follows:</w:t>
      </w:r>
    </w:p>
    <w:p>
      <w:pPr>
        <w:pStyle w:val="TextBody"/>
        <w:bidi w:val="0"/>
        <w:spacing w:before="0" w:after="0"/>
        <w:ind w:left="0" w:right="0" w:firstLine="360"/>
        <w:jc w:val="both"/>
        <w:rPr>
          <w:caps w:val="false"/>
          <w:smallCaps w:val="false"/>
        </w:rPr>
      </w:pPr>
      <w:r>
        <w:rPr>
          <w:caps w:val="false"/>
          <w:smallCaps w:val="false"/>
        </w:rPr>
        <w:t> </w:t>
      </w:r>
    </w:p>
    <w:tbl>
      <w:tblPr>
        <w:tblW w:w="6864" w:type="dxa"/>
        <w:jc w:val="left"/>
        <w:tblInd w:w="0" w:type="dxa"/>
        <w:tblLayout w:type="fixed"/>
        <w:tblCellMar>
          <w:top w:w="0" w:type="dxa"/>
          <w:left w:w="0" w:type="dxa"/>
          <w:bottom w:w="0" w:type="dxa"/>
          <w:right w:w="0" w:type="dxa"/>
        </w:tblCellMar>
      </w:tblPr>
      <w:tblGrid>
        <w:gridCol w:w="4040"/>
        <w:gridCol w:w="60"/>
        <w:gridCol w:w="140"/>
        <w:gridCol w:w="980"/>
        <w:gridCol w:w="95"/>
        <w:gridCol w:w="60"/>
        <w:gridCol w:w="176"/>
        <w:gridCol w:w="1238"/>
        <w:gridCol w:w="75"/>
      </w:tblGrid>
      <w:tr>
        <w:trPr/>
        <w:tc>
          <w:tcPr>
            <w:tcW w:w="4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As of</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center"/>
              <w:rPr/>
            </w:pPr>
            <w:r>
              <w:rPr/>
              <w:t> </w:t>
            </w:r>
          </w:p>
        </w:tc>
      </w:tr>
      <w:tr>
        <w:trPr/>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both"/>
              <w:rPr>
                <w:b/>
              </w:rPr>
            </w:pPr>
            <w:r>
              <w:rPr>
                <w:b/>
              </w:rPr>
              <w:t>Balance as of beginning of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5,227,971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2,297,022</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both"/>
              <w:rPr/>
            </w:pPr>
            <w:r>
              <w:rPr/>
              <w:t>Additions of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805,664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2,745,227</w:t>
            </w:r>
          </w:p>
        </w:tc>
        <w:tc>
          <w:tcPr>
            <w:tcW w:w="7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both"/>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(43,438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185,722</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both"/>
              <w:rPr>
                <w:b/>
              </w:rPr>
            </w:pPr>
            <w:r>
              <w:rPr>
                <w:b/>
              </w:rPr>
              <w:t>Balance as of end of period /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5,990,197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5,227,971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net operating loss carryforwards will expire, if unused, in the following amounts:</w:t>
      </w:r>
    </w:p>
    <w:p>
      <w:pPr>
        <w:pStyle w:val="TextBody"/>
        <w:bidi w:val="0"/>
        <w:spacing w:before="0" w:after="0"/>
        <w:ind w:left="0" w:right="0" w:firstLine="360"/>
        <w:jc w:val="both"/>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3590"/>
        <w:gridCol w:w="60"/>
        <w:gridCol w:w="140"/>
        <w:gridCol w:w="1100"/>
        <w:gridCol w:w="75"/>
      </w:tblGrid>
      <w:tr>
        <w:trPr/>
        <w:tc>
          <w:tcPr>
            <w:tcW w:w="3590" w:type="dxa"/>
            <w:tcBorders>
              <w:bottom w:val="single" w:sz="12" w:space="0" w:color="000000"/>
            </w:tcBorders>
            <w:vAlign w:val="center"/>
          </w:tcPr>
          <w:p>
            <w:pPr>
              <w:pStyle w:val="TableContents"/>
              <w:bidi w:val="0"/>
              <w:spacing w:before="0" w:after="283"/>
              <w:jc w:val="both"/>
              <w:rPr>
                <w:b/>
              </w:rPr>
            </w:pPr>
            <w:r>
              <w:rPr>
                <w:b/>
              </w:rPr>
              <w:t>For the years ending December 31,</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2028</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276,443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2029</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304,229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Indefinitely</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33,010,612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both"/>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vAlign w:val="center"/>
          </w:tcPr>
          <w:p>
            <w:pPr>
              <w:pStyle w:val="TableContents"/>
              <w:bidi w:val="0"/>
              <w:spacing w:before="0" w:after="283"/>
              <w:jc w:val="right"/>
              <w:rPr>
                <w:b/>
              </w:rPr>
            </w:pPr>
            <w:r>
              <w:rPr>
                <w:b/>
              </w:rPr>
              <w:t>33,591,284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net operating loss carryforwards generated by the Group’s subsidiary in the DRC. In accordance with the applicable DRC tax regulations, net operating losses can be carried forward for up to three years to offset future taxable income and will expire in 2028 if not utilized.</w:t>
            </w:r>
          </w:p>
        </w:tc>
      </w:tr>
      <w:tr>
        <w:trPr/>
        <w:tc>
          <w:tcPr>
            <w:tcW w:w="224" w:type="dxa"/>
            <w:tcBorders/>
            <w:vAlign w:val="center"/>
          </w:tcPr>
          <w:p>
            <w:pPr>
              <w:pStyle w:val="TableContents"/>
              <w:bidi w:val="0"/>
              <w:spacing w:before="0" w:after="283"/>
              <w:jc w:val="both"/>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net operating loss carryforwards generated by the Group’s subsidiary in the DRC. In accordance with the applicable DRC tax regulations, net operating losses can be carried forward for up to three years to offset future taxable income and will expire in 2029 if not utilized.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net operating loss carryforwards from the Group’s Singapore subsidiaries, which can be carried forward indefinitely to offset future taxable income, subject to statutory shareholding continuity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each uncertain tax position (including the potential application of interest and penalties) based on the technical merits, and measure the unrecognized benefits associated with the tax positions. As of June 30, 2026 and December 31, 2025, the Group did not have any significant unrecognized uncertain tax positions. The Group did not incur interest and penalties tax for six months ended June 30, 2026 and 2025. As of June 30, 2026, the tax years ended December 31, 2019 to 2025 for the Group’s Singapore subsidiaries and the tax year ended December 31, 2025 for the Group’s Democratic Republic of the Congo (“DRC”) subsidiary, remain open for statutory examination by applicable tax authorities. </w:t>
      </w:r>
    </w:p>
    <w:p>
      <w:pPr>
        <w:pStyle w:val="TextBody"/>
        <w:bidi w:val="0"/>
        <w:spacing w:before="0" w:after="0"/>
        <w:ind w:left="0" w:right="0" w:firstLine="36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335"/>
        <w:gridCol w:w="1745"/>
      </w:tblGrid>
      <w:tr>
        <w:trPr/>
        <w:tc>
          <w:tcPr>
            <w:tcW w:w="335" w:type="dxa"/>
            <w:tcBorders/>
            <w:vAlign w:val="center"/>
          </w:tcPr>
          <w:p>
            <w:pPr>
              <w:pStyle w:val="TableContents"/>
              <w:bidi w:val="0"/>
              <w:spacing w:before="0" w:after="283"/>
              <w:jc w:val="left"/>
              <w:rPr>
                <w:b/>
              </w:rPr>
            </w:pPr>
            <w:r>
              <w:rPr>
                <w:b/>
              </w:rPr>
              <w:t>11.</w:t>
            </w:r>
          </w:p>
        </w:tc>
        <w:tc>
          <w:tcPr>
            <w:tcW w:w="1745" w:type="dxa"/>
            <w:tcBorders/>
            <w:vAlign w:val="center"/>
          </w:tcPr>
          <w:p>
            <w:pPr>
              <w:pStyle w:val="TableContents"/>
              <w:bidi w:val="0"/>
              <w:spacing w:before="0" w:after="283"/>
              <w:jc w:val="both"/>
              <w:rPr>
                <w:b/>
              </w:rPr>
            </w:pPr>
            <w:r>
              <w:rPr>
                <w:b/>
              </w:rPr>
              <w:t>BORROWINGS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summary of the borrowings is as following:</w:t>
      </w:r>
    </w:p>
    <w:p>
      <w:pPr>
        <w:pStyle w:val="TextBody"/>
        <w:bidi w:val="0"/>
        <w:spacing w:before="0" w:after="0"/>
        <w:ind w:left="0" w:right="0" w:firstLine="360"/>
        <w:jc w:val="both"/>
        <w:rPr>
          <w:caps w:val="false"/>
          <w:smallCaps w:val="false"/>
        </w:rPr>
      </w:pPr>
      <w:r>
        <w:rPr>
          <w:caps w:val="false"/>
          <w:smallCaps w:val="false"/>
        </w:rPr>
        <w:t> </w:t>
      </w:r>
    </w:p>
    <w:tbl>
      <w:tblPr>
        <w:tblW w:w="12280" w:type="dxa"/>
        <w:jc w:val="left"/>
        <w:tblInd w:w="0" w:type="dxa"/>
        <w:tblLayout w:type="fixed"/>
        <w:tblCellMar>
          <w:top w:w="0" w:type="dxa"/>
          <w:left w:w="0" w:type="dxa"/>
          <w:bottom w:w="0" w:type="dxa"/>
          <w:right w:w="0" w:type="dxa"/>
        </w:tblCellMar>
      </w:tblPr>
      <w:tblGrid>
        <w:gridCol w:w="1160"/>
        <w:gridCol w:w="60"/>
        <w:gridCol w:w="75"/>
        <w:gridCol w:w="710"/>
        <w:gridCol w:w="215"/>
        <w:gridCol w:w="60"/>
        <w:gridCol w:w="1535"/>
        <w:gridCol w:w="60"/>
        <w:gridCol w:w="995"/>
        <w:gridCol w:w="60"/>
        <w:gridCol w:w="60"/>
        <w:gridCol w:w="980"/>
        <w:gridCol w:w="60"/>
        <w:gridCol w:w="60"/>
        <w:gridCol w:w="66"/>
        <w:gridCol w:w="1079"/>
        <w:gridCol w:w="60"/>
        <w:gridCol w:w="60"/>
        <w:gridCol w:w="90"/>
        <w:gridCol w:w="1025"/>
        <w:gridCol w:w="60"/>
        <w:gridCol w:w="60"/>
        <w:gridCol w:w="79"/>
        <w:gridCol w:w="1066"/>
        <w:gridCol w:w="60"/>
        <w:gridCol w:w="60"/>
        <w:gridCol w:w="90"/>
        <w:gridCol w:w="1025"/>
        <w:gridCol w:w="60"/>
        <w:gridCol w:w="60"/>
        <w:gridCol w:w="90"/>
        <w:gridCol w:w="1025"/>
        <w:gridCol w:w="75"/>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1160" w:type="dxa"/>
            <w:tcBorders>
              <w:bottom w:val="single" w:sz="12" w:space="0" w:color="000000"/>
            </w:tcBorders>
            <w:tcMar>
              <w:bottom w:w="28" w:type="dxa"/>
            </w:tcMar>
            <w:vAlign w:val="center"/>
          </w:tcPr>
          <w:p>
            <w:pPr>
              <w:pStyle w:val="TableContents"/>
              <w:bidi w:val="0"/>
              <w:spacing w:before="0" w:after="283"/>
              <w:jc w:val="left"/>
              <w:rPr>
                <w:b/>
              </w:rPr>
            </w:pPr>
            <w:r>
              <w:rPr>
                <w:b/>
              </w:rPr>
              <w:t>Bank and other Financial institution</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Annual</w:t>
              <w:br/>
              <w:t>interest 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b/>
              </w:rPr>
            </w:pPr>
            <w:r>
              <w:rPr>
                <w:b/>
              </w:rPr>
              <w:t>Start</w:t>
            </w:r>
          </w:p>
        </w:tc>
        <w:tc>
          <w:tcPr>
            <w:tcW w:w="60" w:type="dxa"/>
            <w:tcBorders/>
            <w:vAlign w:val="center"/>
          </w:tcPr>
          <w:p>
            <w:pPr>
              <w:pStyle w:val="TableContents"/>
              <w:bidi w:val="0"/>
              <w:spacing w:before="0" w:after="283"/>
              <w:jc w:val="left"/>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Long-term</w:t>
              <w:br/>
              <w:t>(current portion)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Long-term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Long-term</w:t>
              <w:br/>
              <w:t>(current portion)</w:t>
            </w:r>
          </w:p>
        </w:tc>
        <w:tc>
          <w:tcPr>
            <w:tcW w:w="7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pPr>
            <w:r>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pPr>
            <w:r>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USD</w:t>
            </w:r>
          </w:p>
        </w:tc>
        <w:tc>
          <w:tcPr>
            <w:tcW w:w="75" w:type="dxa"/>
            <w:tcBorders/>
            <w:vAlign w:val="center"/>
          </w:tcPr>
          <w:p>
            <w:pPr>
              <w:pStyle w:val="TableContents"/>
              <w:bidi w:val="0"/>
              <w:spacing w:before="0" w:after="283"/>
              <w:ind w:left="0" w:right="0" w:hanging="180"/>
              <w:jc w:val="center"/>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Maybank Singapore Limited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July 2022</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both"/>
              <w:rPr/>
            </w:pPr>
            <w:r>
              <w:rPr/>
              <w:t>June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298,418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68,137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34,713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66,882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Firmus Tactical Opportunities Fund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24.00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pPr>
            <w:r>
              <w:rPr/>
              <w:t>December 2025</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Due on demand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1,135,925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FFFFFF" w:val="clear"/>
            <w:tcMar>
              <w:bottom w:w="28" w:type="dxa"/>
            </w:tcMar>
            <w:vAlign w:val="center"/>
          </w:tcPr>
          <w:p>
            <w:pPr>
              <w:pStyle w:val="TableContents"/>
              <w:bidi w:val="0"/>
              <w:spacing w:before="0" w:after="283"/>
              <w:jc w:val="right"/>
              <w:rPr/>
            </w:pPr>
            <w:r>
              <w:rPr/>
              <w:t>1,135,925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pPr>
            <w:r>
              <w:rPr/>
              <w:t>466,599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1,434,343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1,135,925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466,599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66,882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60"/>
        <w:gridCol w:w="6005"/>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borrowing is guaranteed by the Group’s shareholder, Poh Kiong Tan.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sz w:val="20"/>
              </w:rPr>
            </w:pPr>
            <w:r>
              <w:rPr>
                <w:sz w:val="20"/>
              </w:rPr>
              <w:t>On July 20, 2025, the Company and its subsidiary, Trident, together with two related parties controlled by Mr. Lim Soon Huat, the Company’s Chief Executive Officer and Director (Trident Consultancy Pte Ltd and Tri Wealth Ltd, collectively with the Company and its subsidiary, the “Joint Obligors”), entered into a Facility Agreement with Firmus Tactical Opportunities Fund I (the “Lender”) for a short-term loan facility of up to $1,477,564 (SGD1,900,000). During the year ended December 31, 2025, the Group drew down $466,599 (SGD600,000) under the facility. During the six months ended June 30, 2026, the Group drew down $680,998 (SGD870,000) under the facility.</w:t>
            </w:r>
          </w:p>
        </w:tc>
      </w:tr>
    </w:tbl>
    <w:p>
      <w:pPr>
        <w:pStyle w:val="TextBody"/>
        <w:bidi w:val="0"/>
        <w:spacing w:before="0" w:after="0"/>
        <w:ind w:left="36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Borrowings under the facility bear interest at a fixed rate of 2.0% per month, with a default interest rate of 4.0% per month. Each tranche of the facility generally matures within 30 days or one month from the respective date of disbursement, unless the Lender, at its sole and discretion, agrees to extend the maturity date for such tranche for another month or such other period. As of June 30, 2026, certain tranches drawn down under the facility remained outstanding beyond their original contractual maturity dates and have been extended by the Lender. The facility is secured by a fixed and floating charge over all present and future assets of the Joint Obligors, an assignment of receivables, and a personal guarantee and deed of undertaking provided by Mr. Lim Soon Huat.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Lender’s right to demand repayment at any time, the entire outstanding balance under the facility is classified as a due on demand borrowing and presented as a short-term borrowing as of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utilized the facility for working capital and general corporate purposes. As of June 30, 2026, the outstanding principal balance and accrued interest under this facility were $1,135,925 (SGD1,470,000) and $124,705 (SGD161,381), respectively. </w:t>
      </w:r>
    </w:p>
    <w:p>
      <w:pPr>
        <w:pStyle w:val="TextBody"/>
        <w:bidi w:val="0"/>
        <w:spacing w:before="0" w:after="0"/>
        <w:ind w:left="360" w:right="0" w:hanging="0"/>
        <w:jc w:val="both"/>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260"/>
        <w:gridCol w:w="848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expenses were $123,383 and $3,696 for six months ended June 30, 2026 and 2025, respectively.</w:t>
            </w:r>
          </w:p>
        </w:tc>
      </w:tr>
    </w:tbl>
    <w:p>
      <w:pPr>
        <w:pStyle w:val="TextBody"/>
        <w:bidi w:val="0"/>
        <w:spacing w:before="0" w:after="0"/>
        <w:ind w:left="3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283"/>
              <w:jc w:val="both"/>
              <w:rPr>
                <w:sz w:val="20"/>
              </w:rPr>
            </w:pPr>
            <w:r>
              <w:rPr>
                <w:sz w:val="20"/>
              </w:rPr>
              <w:t>The total bank loans outstanding as of June 30, 2026 and December 31, 2025 carried a weighted average interest rate of approximately 22.92% and 20.60% per annum,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Maturities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maturities of the Group’s borrowings as of June 30, 2026 were as follows:</w:t>
      </w:r>
    </w:p>
    <w:p>
      <w:pPr>
        <w:pStyle w:val="TextBody"/>
        <w:bidi w:val="0"/>
        <w:spacing w:before="0" w:after="0"/>
        <w:ind w:left="0" w:right="0" w:firstLine="36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325"/>
        <w:gridCol w:w="60"/>
        <w:gridCol w:w="60"/>
        <w:gridCol w:w="980"/>
        <w:gridCol w:w="75"/>
      </w:tblGrid>
      <w:tr>
        <w:trPr/>
        <w:tc>
          <w:tcPr>
            <w:tcW w:w="1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USD</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both"/>
              <w:rPr/>
            </w:pPr>
            <w:r>
              <w:rPr/>
              <w:t>Within 1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1,204,062</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1,204,062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35"/>
        <w:gridCol w:w="4160"/>
      </w:tblGrid>
      <w:tr>
        <w:trPr/>
        <w:tc>
          <w:tcPr>
            <w:tcW w:w="335" w:type="dxa"/>
            <w:tcBorders/>
            <w:vAlign w:val="center"/>
          </w:tcPr>
          <w:p>
            <w:pPr>
              <w:pStyle w:val="TableContents"/>
              <w:bidi w:val="0"/>
              <w:spacing w:before="0" w:after="283"/>
              <w:jc w:val="left"/>
              <w:rPr>
                <w:b/>
              </w:rPr>
            </w:pPr>
            <w:r>
              <w:rPr>
                <w:b/>
              </w:rPr>
              <w:t>12.</w:t>
            </w:r>
          </w:p>
        </w:tc>
        <w:tc>
          <w:tcPr>
            <w:tcW w:w="4160"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related parties which the Group has transactions with:</w:t>
      </w:r>
    </w:p>
    <w:p>
      <w:pPr>
        <w:pStyle w:val="TextBody"/>
        <w:bidi w:val="0"/>
        <w:spacing w:before="0" w:after="0"/>
        <w:ind w:left="0" w:right="0" w:firstLine="360"/>
        <w:jc w:val="both"/>
        <w:rPr>
          <w:caps w:val="false"/>
          <w:smallCaps w:val="false"/>
        </w:rPr>
      </w:pPr>
      <w:r>
        <w:rPr>
          <w:caps w:val="false"/>
          <w:smallCaps w:val="false"/>
        </w:rPr>
        <w:t> </w:t>
      </w:r>
    </w:p>
    <w:tbl>
      <w:tblPr>
        <w:tblW w:w="8940" w:type="dxa"/>
        <w:jc w:val="left"/>
        <w:tblInd w:w="0" w:type="dxa"/>
        <w:tblLayout w:type="fixed"/>
        <w:tblCellMar>
          <w:top w:w="0" w:type="dxa"/>
          <w:left w:w="0" w:type="dxa"/>
          <w:bottom w:w="28" w:type="dxa"/>
          <w:right w:w="0" w:type="dxa"/>
        </w:tblCellMar>
      </w:tblPr>
      <w:tblGrid>
        <w:gridCol w:w="320"/>
        <w:gridCol w:w="60"/>
        <w:gridCol w:w="3155"/>
        <w:gridCol w:w="60"/>
        <w:gridCol w:w="5345"/>
      </w:tblGrid>
      <w:tr>
        <w:trPr/>
        <w:tc>
          <w:tcPr>
            <w:tcW w:w="32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both"/>
              <w:rPr/>
            </w:pPr>
            <w:r>
              <w:rPr/>
              <w:t> </w:t>
            </w:r>
          </w:p>
        </w:tc>
        <w:tc>
          <w:tcPr>
            <w:tcW w:w="31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Related Parties</w:t>
            </w:r>
          </w:p>
        </w:tc>
        <w:tc>
          <w:tcPr>
            <w:tcW w:w="60" w:type="dxa"/>
            <w:tcBorders/>
            <w:tcMar>
              <w:bottom w:w="0" w:type="dxa"/>
            </w:tcMar>
            <w:vAlign w:val="center"/>
          </w:tcPr>
          <w:p>
            <w:pPr>
              <w:pStyle w:val="TableContents"/>
              <w:bidi w:val="0"/>
              <w:spacing w:before="0" w:after="283"/>
              <w:jc w:val="both"/>
              <w:rPr/>
            </w:pPr>
            <w:r>
              <w:rPr/>
              <w:t> </w:t>
            </w:r>
          </w:p>
        </w:tc>
        <w:tc>
          <w:tcPr>
            <w:tcW w:w="53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 with the Group</w:t>
            </w:r>
          </w:p>
        </w:tc>
      </w:tr>
      <w:tr>
        <w:trPr/>
        <w:tc>
          <w:tcPr>
            <w:tcW w:w="3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Soon Huat Lim</w:t>
            </w:r>
          </w:p>
        </w:tc>
        <w:tc>
          <w:tcPr>
            <w:tcW w:w="60" w:type="dxa"/>
            <w:tcBorders/>
            <w:shd w:fill="CCEEFF" w:val="clear"/>
            <w:tcMar>
              <w:bottom w:w="0" w:type="dxa"/>
            </w:tcMar>
            <w:vAlign w:val="center"/>
          </w:tcPr>
          <w:p>
            <w:pPr>
              <w:pStyle w:val="TableContents"/>
              <w:bidi w:val="0"/>
              <w:spacing w:before="0" w:after="283"/>
              <w:jc w:val="both"/>
              <w:rPr/>
            </w:pPr>
            <w:r>
              <w:rPr/>
              <w:t> </w:t>
            </w:r>
          </w:p>
        </w:tc>
        <w:tc>
          <w:tcPr>
            <w:tcW w:w="534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Founder, Chairman of Board of Directors, Chief Executive Officer</w:t>
            </w:r>
          </w:p>
        </w:tc>
      </w:tr>
      <w:tr>
        <w:trPr/>
        <w:tc>
          <w:tcPr>
            <w:tcW w:w="3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Poh Kiong Tan</w:t>
            </w:r>
          </w:p>
        </w:tc>
        <w:tc>
          <w:tcPr>
            <w:tcW w:w="60" w:type="dxa"/>
            <w:tcBorders/>
            <w:shd w:fill="FFFFFF" w:val="clear"/>
            <w:tcMar>
              <w:bottom w:w="0" w:type="dxa"/>
            </w:tcMar>
            <w:vAlign w:val="center"/>
          </w:tcPr>
          <w:p>
            <w:pPr>
              <w:pStyle w:val="TableContents"/>
              <w:bidi w:val="0"/>
              <w:spacing w:before="0" w:after="283"/>
              <w:jc w:val="both"/>
              <w:rPr/>
            </w:pPr>
            <w:r>
              <w:rPr/>
              <w:t> </w:t>
            </w:r>
          </w:p>
        </w:tc>
        <w:tc>
          <w:tcPr>
            <w:tcW w:w="53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Technology Officer and Director</w:t>
            </w:r>
          </w:p>
        </w:tc>
      </w:tr>
      <w:tr>
        <w:trPr/>
        <w:tc>
          <w:tcPr>
            <w:tcW w:w="3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Cong Ty Tnhh Trident Digital Tech</w:t>
            </w:r>
          </w:p>
        </w:tc>
        <w:tc>
          <w:tcPr>
            <w:tcW w:w="60" w:type="dxa"/>
            <w:tcBorders/>
            <w:shd w:fill="CCEEFF" w:val="clear"/>
            <w:tcMar>
              <w:bottom w:w="0" w:type="dxa"/>
            </w:tcMar>
            <w:vAlign w:val="center"/>
          </w:tcPr>
          <w:p>
            <w:pPr>
              <w:pStyle w:val="TableContents"/>
              <w:bidi w:val="0"/>
              <w:spacing w:before="0" w:after="283"/>
              <w:jc w:val="both"/>
              <w:rPr/>
            </w:pPr>
            <w:r>
              <w:rPr/>
              <w:t> </w:t>
            </w:r>
          </w:p>
        </w:tc>
        <w:tc>
          <w:tcPr>
            <w:tcW w:w="534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equity interests owned by Poh Kiong Tan</w:t>
            </w:r>
          </w:p>
        </w:tc>
      </w:tr>
      <w:tr>
        <w:trPr/>
        <w:tc>
          <w:tcPr>
            <w:tcW w:w="3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60" w:type="dxa"/>
            <w:tcBorders/>
            <w:tcMar>
              <w:bottom w:w="0" w:type="dxa"/>
            </w:tcMar>
            <w:vAlign w:val="center"/>
          </w:tcPr>
          <w:p>
            <w:pPr>
              <w:pStyle w:val="TableContents"/>
              <w:bidi w:val="0"/>
              <w:spacing w:before="0" w:after="283"/>
              <w:jc w:val="both"/>
              <w:rPr/>
            </w:pPr>
            <w:r>
              <w:rPr/>
              <w:t> </w:t>
            </w:r>
          </w:p>
        </w:tc>
        <w:tc>
          <w:tcPr>
            <w:tcW w:w="31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Trident Aliska Digital Tech Ghana Ltd</w:t>
            </w:r>
          </w:p>
        </w:tc>
        <w:tc>
          <w:tcPr>
            <w:tcW w:w="60" w:type="dxa"/>
            <w:tcBorders/>
            <w:tcMar>
              <w:bottom w:w="0" w:type="dxa"/>
            </w:tcMar>
            <w:vAlign w:val="center"/>
          </w:tcPr>
          <w:p>
            <w:pPr>
              <w:pStyle w:val="TableContents"/>
              <w:bidi w:val="0"/>
              <w:spacing w:before="0" w:after="283"/>
              <w:jc w:val="both"/>
              <w:rPr/>
            </w:pPr>
            <w:r>
              <w:rPr/>
              <w:t> </w:t>
            </w:r>
          </w:p>
        </w:tc>
        <w:tc>
          <w:tcPr>
            <w:tcW w:w="53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 equity interests owned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due from a related party</w:t>
      </w:r>
    </w:p>
    <w:p>
      <w:pPr>
        <w:pStyle w:val="TextBody"/>
        <w:bidi w:val="0"/>
        <w:spacing w:before="0" w:after="0"/>
        <w:ind w:left="0" w:right="0" w:hanging="0"/>
        <w:jc w:val="both"/>
        <w:rPr>
          <w:caps w:val="false"/>
          <w:smallCaps w:val="false"/>
        </w:rPr>
      </w:pPr>
      <w:r>
        <w:rPr>
          <w:caps w:val="false"/>
          <w:smallCaps w:val="false"/>
        </w:rPr>
        <w:t> </w:t>
      </w:r>
    </w:p>
    <w:tbl>
      <w:tblPr>
        <w:tblW w:w="6034" w:type="dxa"/>
        <w:jc w:val="left"/>
        <w:tblInd w:w="0" w:type="dxa"/>
        <w:tblLayout w:type="fixed"/>
        <w:tblCellMar>
          <w:top w:w="0" w:type="dxa"/>
          <w:left w:w="0" w:type="dxa"/>
          <w:bottom w:w="0" w:type="dxa"/>
          <w:right w:w="0" w:type="dxa"/>
        </w:tblCellMar>
      </w:tblPr>
      <w:tblGrid>
        <w:gridCol w:w="3425"/>
        <w:gridCol w:w="60"/>
        <w:gridCol w:w="140"/>
        <w:gridCol w:w="800"/>
        <w:gridCol w:w="60"/>
        <w:gridCol w:w="60"/>
        <w:gridCol w:w="842"/>
        <w:gridCol w:w="572"/>
        <w:gridCol w:w="75"/>
      </w:tblGrid>
      <w:tr>
        <w:trPr/>
        <w:tc>
          <w:tcPr>
            <w:tcW w:w="3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As of</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center"/>
              <w:rPr/>
            </w:pPr>
            <w:r>
              <w:rPr/>
              <w:t> </w:t>
            </w:r>
          </w:p>
        </w:tc>
      </w:tr>
      <w:tr>
        <w:trPr/>
        <w:tc>
          <w:tcPr>
            <w:tcW w:w="3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Trident Aliska Digital Tech Ghana Ltd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586,020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586,020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7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due to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consisted of the following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5743" w:type="dxa"/>
        <w:jc w:val="left"/>
        <w:tblInd w:w="0" w:type="dxa"/>
        <w:tblLayout w:type="fixed"/>
        <w:tblCellMar>
          <w:top w:w="0" w:type="dxa"/>
          <w:left w:w="0" w:type="dxa"/>
          <w:bottom w:w="0" w:type="dxa"/>
          <w:right w:w="0" w:type="dxa"/>
        </w:tblCellMar>
      </w:tblPr>
      <w:tblGrid>
        <w:gridCol w:w="3200"/>
        <w:gridCol w:w="60"/>
        <w:gridCol w:w="149"/>
        <w:gridCol w:w="725"/>
        <w:gridCol w:w="60"/>
        <w:gridCol w:w="60"/>
        <w:gridCol w:w="241"/>
        <w:gridCol w:w="1173"/>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As of</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Cong Ty Tnhh Trident Digital Tech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48,434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46,976</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due to related parties, non-current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consisted of the following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1520"/>
        <w:gridCol w:w="60"/>
        <w:gridCol w:w="140"/>
        <w:gridCol w:w="1100"/>
        <w:gridCol w:w="60"/>
        <w:gridCol w:w="60"/>
        <w:gridCol w:w="176"/>
        <w:gridCol w:w="1238"/>
        <w:gridCol w:w="75"/>
      </w:tblGrid>
      <w:tr>
        <w:trPr/>
        <w:tc>
          <w:tcPr>
            <w:tcW w:w="15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As of</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Soon Huat Lim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9,893,301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5,927,012</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Poh Kiong Tan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124,717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125,512</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10,018,018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6,052,524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Trident Aliska Digital Tech Ghana Ltd was incorporated on December 15, 2025 in Accra, Ghana, which is 50% held by the Company. It is a private limited company engaged in information communication technology, including software and application development, technology development services, and technology-related investment and services. The balance represented a payment made on behalf of this related party of $905,037, less the share of loss from equity method investment of $319,017.</w:t>
            </w:r>
          </w:p>
        </w:tc>
      </w:tr>
      <w:tr>
        <w:trPr/>
        <w:tc>
          <w:tcPr>
            <w:tcW w:w="212" w:type="dxa"/>
            <w:tcBorders/>
            <w:vAlign w:val="center"/>
          </w:tcPr>
          <w:p>
            <w:pPr>
              <w:pStyle w:val="TableContents"/>
              <w:bidi w:val="0"/>
              <w:spacing w:before="0" w:after="283"/>
              <w:jc w:val="both"/>
              <w:rPr/>
            </w:pPr>
            <w:r>
              <w:rPr/>
              <w:t> </w:t>
            </w:r>
          </w:p>
        </w:tc>
        <w:tc>
          <w:tcPr>
            <w:tcW w:w="9993" w:type="dxa"/>
            <w:tcBorders/>
            <w:vAlign w:val="center"/>
          </w:tcPr>
          <w:p>
            <w:pPr>
              <w:pStyle w:val="TableContents"/>
              <w:bidi w:val="0"/>
              <w:spacing w:before="0" w:after="283"/>
              <w:jc w:val="both"/>
              <w:rPr/>
            </w:pPr>
            <w:r>
              <w:rPr/>
              <w:t> </w:t>
            </w:r>
          </w:p>
        </w:tc>
      </w:tr>
      <w:tr>
        <w:trPr/>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represented service payable to this related party, and the maturity date was December 31,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remaining balance represented loan from this related party for the Group’s daily operation at nil interest rate and a maturity date of December 31, 2027. On June 30, 2026, the Company entered into a share subscription agreement with Mr. Soon Huat Lim, to convert approximately $8.0 million of outstanding indebtedness into 901,408,450 restricted Class B Ordinary Shares at a conversion price of $0.008875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represented loan from this related party for the Group’s daily operation at nil interest, and expense paid on behalf of the Group, with a maturity date of December 31, 2027.</w:t>
            </w:r>
          </w:p>
        </w:tc>
      </w:tr>
    </w:tbl>
    <w:p>
      <w:pPr>
        <w:pStyle w:val="TextBody"/>
        <w:bidi w:val="0"/>
        <w:spacing w:before="0" w:after="0"/>
        <w:ind w:left="482" w:right="0" w:hanging="48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20, 2025, Mr. Soon Huat Lim provided guarantee for the loan of the Group from Firmus Tactical Opportunities Fund. The loan facility is up to $1,477,564 (SGD1,900,000) and the Group drew $1,135,925 (SGD1,470,000) under the facility. </w:t>
      </w:r>
    </w:p>
    <w:p>
      <w:pPr>
        <w:pStyle w:val="TextBody"/>
        <w:bidi w:val="0"/>
        <w:spacing w:before="0" w:after="0"/>
        <w:ind w:left="482" w:right="0" w:hanging="48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parties transactions</w:t>
      </w:r>
    </w:p>
    <w:p>
      <w:pPr>
        <w:pStyle w:val="TextBody"/>
        <w:bidi w:val="0"/>
        <w:spacing w:before="0" w:after="0"/>
        <w:ind w:left="0" w:right="0" w:hanging="0"/>
        <w:jc w:val="both"/>
        <w:rPr>
          <w:caps w:val="false"/>
          <w:smallCaps w:val="false"/>
        </w:rPr>
      </w:pPr>
      <w:r>
        <w:rPr>
          <w:caps w:val="false"/>
          <w:smallCaps w:val="false"/>
        </w:rPr>
        <w:t> </w:t>
      </w:r>
    </w:p>
    <w:tbl>
      <w:tblPr>
        <w:tblW w:w="8587" w:type="dxa"/>
        <w:jc w:val="left"/>
        <w:tblInd w:w="0" w:type="dxa"/>
        <w:tblLayout w:type="fixed"/>
        <w:tblCellMar>
          <w:top w:w="0" w:type="dxa"/>
          <w:left w:w="0" w:type="dxa"/>
          <w:bottom w:w="0" w:type="dxa"/>
          <w:right w:w="0" w:type="dxa"/>
        </w:tblCellMar>
      </w:tblPr>
      <w:tblGrid>
        <w:gridCol w:w="5870"/>
        <w:gridCol w:w="60"/>
        <w:gridCol w:w="153"/>
        <w:gridCol w:w="1073"/>
        <w:gridCol w:w="65"/>
        <w:gridCol w:w="65"/>
        <w:gridCol w:w="153"/>
        <w:gridCol w:w="1073"/>
        <w:gridCol w:w="75"/>
      </w:tblGrid>
      <w:tr>
        <w:trPr/>
        <w:tc>
          <w:tcPr>
            <w:tcW w:w="58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both"/>
              <w:rPr>
                <w:b/>
              </w:rPr>
            </w:pPr>
            <w:r>
              <w:rPr>
                <w:b/>
              </w:rPr>
              <w:t>Nature:</w:t>
            </w:r>
          </w:p>
        </w:tc>
        <w:tc>
          <w:tcPr>
            <w:tcW w:w="60" w:type="dxa"/>
            <w:tcBorders/>
            <w:vAlign w:val="center"/>
          </w:tcPr>
          <w:p>
            <w:pPr>
              <w:pStyle w:val="TableContents"/>
              <w:bidi w:val="0"/>
              <w:spacing w:before="0" w:after="283"/>
              <w:jc w:val="left"/>
              <w:rPr/>
            </w:pPr>
            <w:r>
              <w:rPr/>
              <w:t> </w:t>
            </w:r>
          </w:p>
        </w:tc>
        <w:tc>
          <w:tcPr>
            <w:tcW w:w="1226" w:type="dxa"/>
            <w:gridSpan w:val="2"/>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6"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both"/>
              <w:rPr>
                <w:b/>
                <w:i/>
              </w:rPr>
            </w:pPr>
            <w:r>
              <w:rPr>
                <w:b/>
                <w:i/>
              </w:rPr>
              <w:t>Poh Kiong Tan</w:t>
            </w:r>
          </w:p>
        </w:tc>
        <w:tc>
          <w:tcPr>
            <w:tcW w:w="60" w:type="dxa"/>
            <w:tcBorders/>
            <w:vAlign w:val="center"/>
          </w:tcPr>
          <w:p>
            <w:pPr>
              <w:pStyle w:val="TableContents"/>
              <w:bidi w:val="0"/>
              <w:spacing w:before="0" w:after="283"/>
              <w:jc w:val="left"/>
              <w:rPr/>
            </w:pPr>
            <w:r>
              <w:rPr/>
              <w:t> </w:t>
            </w:r>
          </w:p>
        </w:tc>
        <w:tc>
          <w:tcPr>
            <w:tcW w:w="1226" w:type="dxa"/>
            <w:gridSpan w:val="2"/>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26"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both"/>
              <w:rPr/>
            </w:pPr>
            <w:r>
              <w:rPr/>
              <w:t>Loan from related parties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22,663</w:t>
            </w:r>
          </w:p>
        </w:tc>
        <w:tc>
          <w:tcPr>
            <w:tcW w:w="7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both"/>
              <w:rPr/>
            </w:pPr>
            <w:r>
              <w:rPr/>
              <w:t>Repayment of loan from related party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6,043</w:t>
            </w:r>
          </w:p>
        </w:tc>
        <w:tc>
          <w:tcPr>
            <w:tcW w:w="7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both"/>
              <w:rPr>
                <w:b/>
                <w:i/>
              </w:rPr>
            </w:pPr>
            <w:r>
              <w:rPr>
                <w:b/>
                <w:i/>
              </w:rPr>
              <w:t>Soon Huat Lim</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6,583,816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4,215,265</w:t>
            </w:r>
          </w:p>
        </w:tc>
        <w:tc>
          <w:tcPr>
            <w:tcW w:w="7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both"/>
              <w:rPr/>
            </w:pPr>
            <w:r>
              <w:rPr/>
              <w:t>Repayment of loan from related party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2,521,852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4,559</w:t>
            </w:r>
          </w:p>
        </w:tc>
        <w:tc>
          <w:tcPr>
            <w:tcW w:w="7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both"/>
              <w:rPr/>
            </w:pPr>
            <w:r>
              <w:rPr/>
              <w:t>Expenses paid on behalf of the Group</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6,211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both"/>
              <w:rPr>
                <w:b/>
                <w:i/>
              </w:rPr>
            </w:pPr>
            <w:r>
              <w:rPr>
                <w:b/>
                <w:i/>
              </w:rPr>
              <w:t>Cong Ty Tnhh Trident Digital Tech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both"/>
              <w:rPr/>
            </w:pPr>
            <w:r>
              <w:rPr/>
              <w:t>Research and development services provided to the Company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073" w:type="dxa"/>
            <w:tcBorders/>
            <w:shd w:fill="FFFFFF" w:val="clear"/>
            <w:vAlign w:val="center"/>
          </w:tcPr>
          <w:p>
            <w:pPr>
              <w:pStyle w:val="TableContents"/>
              <w:bidi w:val="0"/>
              <w:spacing w:before="0" w:after="283"/>
              <w:jc w:val="right"/>
              <w:rPr/>
            </w:pPr>
            <w:r>
              <w:rPr/>
              <w:t>254,416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073" w:type="dxa"/>
            <w:tcBorders/>
            <w:shd w:fill="FFFFFF" w:val="clear"/>
            <w:vAlign w:val="center"/>
          </w:tcPr>
          <w:p>
            <w:pPr>
              <w:pStyle w:val="TableContents"/>
              <w:bidi w:val="0"/>
              <w:spacing w:before="0" w:after="283"/>
              <w:jc w:val="right"/>
              <w:rPr/>
            </w:pPr>
            <w:r>
              <w:rPr/>
              <w:t>200,055</w:t>
            </w:r>
          </w:p>
        </w:tc>
        <w:tc>
          <w:tcPr>
            <w:tcW w:w="7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both"/>
              <w:rPr/>
            </w:pPr>
            <w:r>
              <w:rPr/>
              <w:t>Maintenance services provided to the Company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71,661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66,012</w:t>
            </w:r>
          </w:p>
        </w:tc>
        <w:tc>
          <w:tcPr>
            <w:tcW w:w="7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both"/>
              <w:rPr>
                <w:b/>
                <w:i/>
              </w:rPr>
            </w:pPr>
            <w:r>
              <w:rPr>
                <w:b/>
                <w:i/>
              </w:rPr>
              <w:t>Trident Aliska Digital Tech Ghana Ltd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both"/>
              <w:rPr/>
            </w:pPr>
            <w:r>
              <w:rPr/>
              <w:t>Payment made on behalf of a related party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073" w:type="dxa"/>
            <w:tcBorders/>
            <w:shd w:fill="FFFFFF" w:val="clear"/>
            <w:vAlign w:val="center"/>
          </w:tcPr>
          <w:p>
            <w:pPr>
              <w:pStyle w:val="TableContents"/>
              <w:bidi w:val="0"/>
              <w:spacing w:before="0" w:after="283"/>
              <w:jc w:val="right"/>
              <w:rPr/>
            </w:pPr>
            <w:r>
              <w:rPr/>
              <w:t>916,770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0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35"/>
        <w:gridCol w:w="3980"/>
      </w:tblGrid>
      <w:tr>
        <w:trPr/>
        <w:tc>
          <w:tcPr>
            <w:tcW w:w="335" w:type="dxa"/>
            <w:tcBorders/>
            <w:vAlign w:val="center"/>
          </w:tcPr>
          <w:p>
            <w:pPr>
              <w:pStyle w:val="TableContents"/>
              <w:bidi w:val="0"/>
              <w:spacing w:before="0" w:after="283"/>
              <w:jc w:val="left"/>
              <w:rPr>
                <w:b/>
              </w:rPr>
            </w:pPr>
            <w:r>
              <w:rPr>
                <w:b/>
              </w:rPr>
              <w:t>13.</w:t>
            </w:r>
          </w:p>
        </w:tc>
        <w:tc>
          <w:tcPr>
            <w:tcW w:w="3980" w:type="dxa"/>
            <w:tcBorders/>
            <w:vAlign w:val="center"/>
          </w:tcPr>
          <w:p>
            <w:pPr>
              <w:pStyle w:val="TableContents"/>
              <w:bidi w:val="0"/>
              <w:spacing w:before="0" w:after="283"/>
              <w:jc w:val="both"/>
              <w:rPr>
                <w:b/>
              </w:rPr>
            </w:pPr>
            <w:r>
              <w:rPr>
                <w:b/>
              </w:rPr>
              <w:t>CONVERTIBLE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2025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7, 2025, the Company entered into a Securities Purchase Agreement with Streeterville Capital, LLC. Pursuant to the agreement, the Company issued a Convertible Promissory Note in the principal amount of $1,100,000 (including an original issue discount of $80,000 and transaction expenses of $20,000) for net cash proceeds of $1,000,000. In connection with the note, the Company concurrently issued 14,295,000 Class B Ordinary Shares (the “Pre-Delivery Shares”) to the investor.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November 2025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17, 2025, the Company entered into a Securities Purchase Agreement with Viner Total Investments Fund. Pursuant to the agreement, the Company issued a Convertible Promissory Note in the principal amount of $2,200,000 (including transaction expenses of $179,000) for net cash proceeds of $2,021,000. The Company also agreed to issue 27,936,500 Class B Ordinary Shares as Pre-Delivery Shares, which remained as an unissued obligation as of December 31,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Terms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August 2025 and November 2025 Convertible Note are substantially identical and include the following key provisions: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Maturity, Interest, and Security:</w:t>
            </w:r>
            <w:r>
              <w:rPr>
                <w:rFonts w:ascii="Times New Roman;Times;Serif" w:hAnsi="Times New Roman;Times;Serif"/>
                <w:sz w:val="20"/>
              </w:rPr>
              <w:t xml:space="preserve"> The notes are unsecured and mature 12 months after the purchase price date. They bear a simple interest rate of 8% per annum. Upon the occurrence of an Event of Default, the interest rate increases to the lesser of 18% per annum or the maximum rate permitted under applicable law.</w:t>
            </w:r>
          </w:p>
        </w:tc>
      </w:tr>
    </w:tbl>
    <w:p>
      <w:pPr>
        <w:pStyle w:val="TextBody"/>
        <w:bidi w:val="0"/>
        <w:spacing w:before="0" w:after="0"/>
        <w:ind w:left="11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Conversion Mechanics:</w:t>
            </w:r>
            <w:r>
              <w:rPr>
                <w:rFonts w:ascii="Times New Roman;Times;Serif" w:hAnsi="Times New Roman;Times;Serif"/>
                <w:sz w:val="20"/>
              </w:rPr>
              <w:t xml:space="preserve"> The holders have the right to convert all or any portion of the outstanding balance into American Depositary Shares (ADSs) at a Conversion Price equal to the Market Price less $0.05 (for the August Note) or $0.03 (for the November Note). The “Market Price” is defined as 80% of the lowest daily volume-weighted average price (VWAP) in the 10 trading days immediately preceding the conversion measurement date.</w:t>
            </w:r>
          </w:p>
        </w:tc>
      </w:tr>
    </w:tbl>
    <w:p>
      <w:pPr>
        <w:pStyle w:val="TextBody"/>
        <w:bidi w:val="0"/>
        <w:spacing w:before="0" w:after="0"/>
        <w:ind w:left="11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Floor Price and Cash Settlement: </w:t>
            </w:r>
            <w:r>
              <w:rPr>
                <w:rFonts w:ascii="Times New Roman;Times;Serif" w:hAnsi="Times New Roman;Times;Serif"/>
                <w:sz w:val="20"/>
              </w:rPr>
              <w:t>Conversions are subject to a Floor Price of $7.32 per ADS for the August Note, or $3.00 per ADS for the November Note. (amounts have been retrospectively adjusted to reflect the change in the ADS ratio and the 240-to-1 reverse share split effective July 16, 2026) If the calculated Conversion Price falls below the Floor Price, the investor has the right to elect a cash settlement within two trading days of the conversion notice rather than receiving shares.</w:t>
            </w:r>
          </w:p>
        </w:tc>
      </w:tr>
    </w:tbl>
    <w:p>
      <w:pPr>
        <w:pStyle w:val="TextBody"/>
        <w:bidi w:val="0"/>
        <w:spacing w:before="0" w:after="0"/>
        <w:ind w:left="11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Prepayment Option: </w:t>
            </w:r>
            <w:r>
              <w:rPr>
                <w:rFonts w:ascii="Times New Roman;Times;Serif" w:hAnsi="Times New Roman;Times;Serif"/>
                <w:sz w:val="20"/>
              </w:rPr>
              <w:t>So long as no Event of Default has occurred, the Company may prepay the outstanding balance of the notes with 10 trading days’ prior written notice at a prepayment premium of 120% of the outstanding balance.</w:t>
            </w:r>
          </w:p>
        </w:tc>
      </w:tr>
    </w:tbl>
    <w:p>
      <w:pPr>
        <w:pStyle w:val="TextBody"/>
        <w:bidi w:val="0"/>
        <w:spacing w:before="0" w:after="0"/>
        <w:ind w:left="11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Default Penalties (Trigger Events):</w:t>
            </w:r>
            <w:r>
              <w:rPr>
                <w:rFonts w:ascii="Times New Roman;Times;Serif" w:hAnsi="Times New Roman;Times;Serif"/>
                <w:sz w:val="20"/>
              </w:rPr>
              <w:t xml:space="preserve"> The notes contain specific “Trigger Events” (e.g., failure to pay, failure to maintain an effective registration statement, bankruptcy). Upon a Major Trigger Event, the outstanding balance of the note is automatically multiplied by 115%. Upon a Minor Trigger Event, the outstanding balance is multiplied by 110%.</w:t>
            </w:r>
          </w:p>
        </w:tc>
      </w:tr>
    </w:tbl>
    <w:p>
      <w:pPr>
        <w:pStyle w:val="TextBody"/>
        <w:bidi w:val="0"/>
        <w:spacing w:before="0" w:after="0"/>
        <w:ind w:left="11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Investor Limitations: </w:t>
            </w:r>
            <w:r>
              <w:rPr>
                <w:rFonts w:ascii="Times New Roman;Times;Serif" w:hAnsi="Times New Roman;Times;Serif"/>
                <w:sz w:val="20"/>
              </w:rPr>
              <w:t>The notes are subject to a strict 9.99% beneficial ownership limitation, preventing the investor from converting the note if it would result in owning more than 9.99% of the Company’s outstanding ordinary shares. Additionally, unless authorized by the Company, the investors are limited to selling no more than 15% of the weekly trading volume of the ADSs on the open market.</w:t>
            </w:r>
          </w:p>
        </w:tc>
      </w:tr>
    </w:tbl>
    <w:p>
      <w:pPr>
        <w:pStyle w:val="TextBody"/>
        <w:bidi w:val="0"/>
        <w:spacing w:before="0" w:after="0"/>
        <w:ind w:left="17" w:right="0" w:firstLine="40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Pre-Delivery Shares can be separately exercised, i.e. each can continue to exist unchanged when the other is exercised; the Company concluded that they were freestanding. The Pre-Delivery Shares are considered a form of stock borrowing facility and are accounted for as own-share lending arrangement. The Company did not receive any proceeds or pay any consideration related to the Pre-Delivery Shares, except that the Company received a one-time nominal fee upon the issuance of the Pre-Delivery Shares and will pay the same amount to the investors upon the return of Pre-Delivery Shares. Although legally issued, the Pre-Delivery Shares were not considered outstanding and therefore excluded from basic and diluted loss per share unless default of the share lending arrangement occurs, at which time the Pre-Delivery Shares would be included in the basic and diluted loss per share calculation.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and evaluated the embedded conversion features of the notes in accordance with ASC 815, Derivatives and Hedging. Because the conversion price is subject to adjustment based on future market prices, the conversion features are not considered indexed to the Company’s own stock. Consequently, the embedded conversion features were bifurcated from the host debt and accounted for as separate derivative liabilities. The derivative liabilities were initially measured at their standalone fair values on the respective issuance dates and are subsequently remeasured at fair value at each reporting date, with changes in fair value recognized in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sum of the standalone fair values of the bifurcated derivative liabilities, the Pre-Delivery Shares (share-lending arrangement), and the host debt exceeded the net proceeds received, the Company allocated the initial proceeds using a relative fair value methodology. Specifically, the derivative liability was first recorded at its full standalone fair value. The remaining net proceeds were then allocated between the Pre-Delivery Shares and the host debt based on their relative standalone fair values.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allocated fair value of the Pre-Delivery Shares represents an incremental borrowing cost and was recognized as a debt issuance cost, with a corresponding credit to Additional Paid-In Capital (APIC) representing the obligation to issue/return the shares. The Convertible Notes (host debt) are recorded on the consolidated balance sheets at amortized cost, net of the original issue discount, transaction costs, the standalone fair value of the bifurcated derivative liabilities, and the allocated Pre-Delivery Share issuance costs. These combined discounts and issuance costs are amortized to interest expenses over the 12-month term of the notes using the effective interest method, alongside the accrued 8% stated coupon interest.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events: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effected two conversions of the August 2025 Convertible Notes as follows:</w:t>
      </w:r>
    </w:p>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28" w:type="dxa"/>
          <w:right w:w="0" w:type="dxa"/>
        </w:tblCellMar>
      </w:tblPr>
      <w:tblGrid>
        <w:gridCol w:w="3005"/>
        <w:gridCol w:w="60"/>
        <w:gridCol w:w="140"/>
        <w:gridCol w:w="800"/>
        <w:gridCol w:w="60"/>
        <w:gridCol w:w="60"/>
        <w:gridCol w:w="140"/>
        <w:gridCol w:w="800"/>
        <w:gridCol w:w="75"/>
      </w:tblGrid>
      <w:tr>
        <w:trPr/>
        <w:tc>
          <w:tcPr>
            <w:tcW w:w="3005" w:type="dxa"/>
            <w:tcBorders>
              <w:bottom w:val="single" w:sz="12" w:space="0" w:color="000000"/>
            </w:tcBorders>
            <w:vAlign w:val="center"/>
          </w:tcPr>
          <w:p>
            <w:pPr>
              <w:pStyle w:val="TableContents"/>
              <w:bidi w:val="0"/>
              <w:spacing w:before="0" w:after="283"/>
              <w:jc w:val="both"/>
              <w:rPr/>
            </w:pPr>
            <w:r>
              <w:rPr/>
              <w:t>Date of Conversion:</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pPr>
            <w:r>
              <w:rPr/>
              <w:t xml:space="preserve">April 9,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pPr>
            <w:r>
              <w:rPr/>
              <w:t xml:space="preserve">May 20, </w:t>
              <w:br/>
              <w:t>2026</w:t>
            </w:r>
          </w:p>
        </w:tc>
        <w:tc>
          <w:tcPr>
            <w:tcW w:w="75"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both"/>
              <w:rPr/>
            </w:pPr>
            <w:r>
              <w:rPr/>
              <w:t>Conversion Amount: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110,000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both"/>
              <w:rPr/>
            </w:pPr>
            <w:r>
              <w:rPr/>
              <w:t>Conversion Price (per ADS):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0.05536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1.12040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both"/>
              <w:rPr/>
            </w:pPr>
            <w:r>
              <w:rPr/>
              <w:t>Conversion Shares (in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903,179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98,179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Class B Ordinary shares</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30,106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98,179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both"/>
              <w:rPr/>
            </w:pPr>
            <w:r>
              <w:rPr/>
              <w:t>Amounts represent the equivalent underlying Class B ordinary shares, which have been retrospectively adjusted to reflect both the applicable ADS-to-ordinary share ratio at the time of conversion (1:8 for April and 1:240 for May) and the 240-to-1 reverse share split effective July 16,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of the convertible notes payable as of June 30, 2026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40"/>
        <w:gridCol w:w="60"/>
        <w:gridCol w:w="140"/>
        <w:gridCol w:w="1055"/>
        <w:gridCol w:w="110"/>
      </w:tblGrid>
      <w:tr>
        <w:trPr/>
        <w:tc>
          <w:tcPr>
            <w:tcW w:w="88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As of</w:t>
              <w:br/>
              <w:t>June 30,</w:t>
            </w:r>
          </w:p>
        </w:tc>
        <w:tc>
          <w:tcPr>
            <w:tcW w:w="110" w:type="dxa"/>
            <w:tcBorders/>
            <w:vAlign w:val="center"/>
          </w:tcPr>
          <w:p>
            <w:pPr>
              <w:pStyle w:val="TableContents"/>
              <w:bidi w:val="0"/>
              <w:spacing w:before="0" w:after="283"/>
              <w:jc w:val="center"/>
              <w:rPr/>
            </w:pPr>
            <w:r>
              <w:rPr/>
              <w:t> </w:t>
            </w:r>
          </w:p>
        </w:tc>
      </w:tr>
      <w:tr>
        <w:trPr/>
        <w:tc>
          <w:tcPr>
            <w:tcW w:w="88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8840" w:type="dxa"/>
            <w:tcBorders/>
            <w:shd w:fill="CCEEFF" w:val="clear"/>
            <w:vAlign w:val="center"/>
          </w:tcPr>
          <w:p>
            <w:pPr>
              <w:pStyle w:val="TableContents"/>
              <w:bidi w:val="0"/>
              <w:spacing w:before="0" w:after="283"/>
              <w:jc w:val="both"/>
              <w:rPr/>
            </w:pPr>
            <w:r>
              <w:rPr/>
              <w:t>Convertible note payable to an unrelated party-issued in August, 2025, with interest at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1,100,000</w:t>
            </w:r>
          </w:p>
        </w:tc>
        <w:tc>
          <w:tcPr>
            <w:tcW w:w="110" w:type="dxa"/>
            <w:tcBorders/>
            <w:shd w:fill="CCEEFF" w:val="clear"/>
            <w:vAlign w:val="center"/>
          </w:tcPr>
          <w:p>
            <w:pPr>
              <w:pStyle w:val="TableContents"/>
              <w:bidi w:val="0"/>
              <w:spacing w:before="0" w:after="283"/>
              <w:jc w:val="left"/>
              <w:rPr/>
            </w:pPr>
            <w:r>
              <w:rPr/>
              <w:t> </w:t>
            </w:r>
          </w:p>
        </w:tc>
      </w:tr>
      <w:tr>
        <w:trPr/>
        <w:tc>
          <w:tcPr>
            <w:tcW w:w="8840" w:type="dxa"/>
            <w:tcBorders/>
            <w:shd w:fill="FFFFFF" w:val="clear"/>
            <w:vAlign w:val="center"/>
          </w:tcPr>
          <w:p>
            <w:pPr>
              <w:pStyle w:val="TableContents"/>
              <w:bidi w:val="0"/>
              <w:spacing w:before="0" w:after="283"/>
              <w:jc w:val="both"/>
              <w:rPr/>
            </w:pPr>
            <w:r>
              <w:rPr/>
              <w:t>Convertible note payable to an unrelated party-issued in November, 2025, with interest at 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2,200,000</w:t>
            </w:r>
          </w:p>
        </w:tc>
        <w:tc>
          <w:tcPr>
            <w:tcW w:w="110" w:type="dxa"/>
            <w:tcBorders/>
            <w:shd w:fill="FFFFFF" w:val="clear"/>
            <w:vAlign w:val="center"/>
          </w:tcPr>
          <w:p>
            <w:pPr>
              <w:pStyle w:val="TableContents"/>
              <w:bidi w:val="0"/>
              <w:spacing w:before="0" w:after="283"/>
              <w:jc w:val="left"/>
              <w:rPr/>
            </w:pPr>
            <w:r>
              <w:rPr/>
              <w:t> </w:t>
            </w:r>
          </w:p>
        </w:tc>
      </w:tr>
      <w:tr>
        <w:trPr/>
        <w:tc>
          <w:tcPr>
            <w:tcW w:w="8840" w:type="dxa"/>
            <w:tcBorders/>
            <w:shd w:fill="CCEEFF" w:val="clear"/>
            <w:vAlign w:val="center"/>
          </w:tcPr>
          <w:p>
            <w:pPr>
              <w:pStyle w:val="TableContents"/>
              <w:bidi w:val="0"/>
              <w:spacing w:before="0" w:after="283"/>
              <w:jc w:val="both"/>
              <w:rPr/>
            </w:pPr>
            <w:r>
              <w:rPr/>
              <w:t>Less: derivative liability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(2,058,567</w:t>
            </w:r>
          </w:p>
        </w:tc>
        <w:tc>
          <w:tcPr>
            <w:tcW w:w="110" w:type="dxa"/>
            <w:tcBorders/>
            <w:shd w:fill="CCEEFF" w:val="clear"/>
            <w:vAlign w:val="center"/>
          </w:tcPr>
          <w:p>
            <w:pPr>
              <w:pStyle w:val="TableContents"/>
              <w:bidi w:val="0"/>
              <w:spacing w:before="0" w:after="283"/>
              <w:jc w:val="left"/>
              <w:rPr/>
            </w:pPr>
            <w:r>
              <w:rPr/>
              <w:t>)</w:t>
            </w:r>
          </w:p>
        </w:tc>
      </w:tr>
      <w:tr>
        <w:trPr/>
        <w:tc>
          <w:tcPr>
            <w:tcW w:w="8840" w:type="dxa"/>
            <w:tcBorders/>
            <w:shd w:fill="FFFFFF" w:val="clear"/>
            <w:vAlign w:val="center"/>
          </w:tcPr>
          <w:p>
            <w:pPr>
              <w:pStyle w:val="TableContents"/>
              <w:bidi w:val="0"/>
              <w:spacing w:before="0" w:after="283"/>
              <w:jc w:val="both"/>
              <w:rPr/>
            </w:pPr>
            <w:r>
              <w:rPr/>
              <w:t>debt discount and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(279,000</w:t>
            </w:r>
          </w:p>
        </w:tc>
        <w:tc>
          <w:tcPr>
            <w:tcW w:w="110" w:type="dxa"/>
            <w:tcBorders/>
            <w:shd w:fill="FFFFFF" w:val="clear"/>
            <w:vAlign w:val="center"/>
          </w:tcPr>
          <w:p>
            <w:pPr>
              <w:pStyle w:val="TableContents"/>
              <w:bidi w:val="0"/>
              <w:spacing w:before="0" w:after="283"/>
              <w:jc w:val="left"/>
              <w:rPr/>
            </w:pPr>
            <w:r>
              <w:rPr/>
              <w:t>)</w:t>
            </w:r>
          </w:p>
        </w:tc>
      </w:tr>
      <w:tr>
        <w:trPr/>
        <w:tc>
          <w:tcPr>
            <w:tcW w:w="8840" w:type="dxa"/>
            <w:tcBorders/>
            <w:shd w:fill="CCEEFF" w:val="clear"/>
            <w:vAlign w:val="center"/>
          </w:tcPr>
          <w:p>
            <w:pPr>
              <w:pStyle w:val="TableContents"/>
              <w:bidi w:val="0"/>
              <w:spacing w:before="0" w:after="283"/>
              <w:jc w:val="both"/>
              <w:rPr/>
            </w:pPr>
            <w:r>
              <w:rPr/>
              <w:t>convert into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(149,286</w:t>
            </w:r>
          </w:p>
        </w:tc>
        <w:tc>
          <w:tcPr>
            <w:tcW w:w="110" w:type="dxa"/>
            <w:tcBorders/>
            <w:shd w:fill="CCEEFF" w:val="clear"/>
            <w:vAlign w:val="center"/>
          </w:tcPr>
          <w:p>
            <w:pPr>
              <w:pStyle w:val="TableContents"/>
              <w:bidi w:val="0"/>
              <w:spacing w:before="0" w:after="283"/>
              <w:jc w:val="left"/>
              <w:rPr/>
            </w:pPr>
            <w:r>
              <w:rPr/>
              <w:t>)</w:t>
            </w:r>
          </w:p>
        </w:tc>
      </w:tr>
      <w:tr>
        <w:trPr/>
        <w:tc>
          <w:tcPr>
            <w:tcW w:w="8840" w:type="dxa"/>
            <w:tcBorders/>
            <w:shd w:fill="FFFFFF" w:val="clear"/>
            <w:vAlign w:val="center"/>
          </w:tcPr>
          <w:p>
            <w:pPr>
              <w:pStyle w:val="TableContents"/>
              <w:bidi w:val="0"/>
              <w:spacing w:before="0" w:after="283"/>
              <w:jc w:val="both"/>
              <w:rPr/>
            </w:pPr>
            <w:r>
              <w:rPr/>
              <w:t>Fair value adjustment for Pre-Delivery Shares related to the issuance of the convertible note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(485,565</w:t>
            </w:r>
          </w:p>
        </w:tc>
        <w:tc>
          <w:tcPr>
            <w:tcW w:w="110" w:type="dxa"/>
            <w:tcBorders/>
            <w:shd w:fill="FFFFFF" w:val="clear"/>
            <w:vAlign w:val="center"/>
          </w:tcPr>
          <w:p>
            <w:pPr>
              <w:pStyle w:val="TableContents"/>
              <w:bidi w:val="0"/>
              <w:spacing w:before="0" w:after="283"/>
              <w:jc w:val="left"/>
              <w:rPr/>
            </w:pPr>
            <w:r>
              <w:rPr/>
              <w:t>)</w:t>
            </w:r>
          </w:p>
        </w:tc>
      </w:tr>
      <w:tr>
        <w:trPr/>
        <w:tc>
          <w:tcPr>
            <w:tcW w:w="8840" w:type="dxa"/>
            <w:tcBorders/>
            <w:shd w:fill="CCEEFF" w:val="clear"/>
            <w:vAlign w:val="center"/>
          </w:tcPr>
          <w:p>
            <w:pPr>
              <w:pStyle w:val="TableContents"/>
              <w:bidi w:val="0"/>
              <w:spacing w:before="0" w:after="283"/>
              <w:jc w:val="both"/>
              <w:rPr>
                <w:b/>
              </w:rPr>
            </w:pPr>
            <w:r>
              <w:rPr>
                <w:b/>
              </w:rPr>
              <w:t>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327,582</w:t>
            </w:r>
          </w:p>
        </w:tc>
        <w:tc>
          <w:tcPr>
            <w:tcW w:w="110" w:type="dxa"/>
            <w:tcBorders/>
            <w:shd w:fill="CCEEFF" w:val="clear"/>
            <w:vAlign w:val="center"/>
          </w:tcPr>
          <w:p>
            <w:pPr>
              <w:pStyle w:val="TableContents"/>
              <w:bidi w:val="0"/>
              <w:spacing w:before="0" w:after="283"/>
              <w:jc w:val="left"/>
              <w:rPr/>
            </w:pPr>
            <w:r>
              <w:rPr/>
              <w:t> </w:t>
            </w:r>
          </w:p>
        </w:tc>
      </w:tr>
      <w:tr>
        <w:trPr/>
        <w:tc>
          <w:tcPr>
            <w:tcW w:w="8840" w:type="dxa"/>
            <w:tcBorders/>
            <w:shd w:fill="FFFFFF" w:val="clear"/>
            <w:vAlign w:val="center"/>
          </w:tcPr>
          <w:p>
            <w:pPr>
              <w:pStyle w:val="TableContents"/>
              <w:bidi w:val="0"/>
              <w:spacing w:before="0" w:after="283"/>
              <w:jc w:val="both"/>
              <w:rPr/>
            </w:pPr>
            <w:r>
              <w:rPr/>
              <w:t>Plus: amortization of discounts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1,847,439</w:t>
            </w:r>
          </w:p>
        </w:tc>
        <w:tc>
          <w:tcPr>
            <w:tcW w:w="110" w:type="dxa"/>
            <w:tcBorders/>
            <w:shd w:fill="FFFFFF" w:val="clear"/>
            <w:vAlign w:val="center"/>
          </w:tcPr>
          <w:p>
            <w:pPr>
              <w:pStyle w:val="TableContents"/>
              <w:bidi w:val="0"/>
              <w:spacing w:before="0" w:after="283"/>
              <w:jc w:val="left"/>
              <w:rPr/>
            </w:pPr>
            <w:r>
              <w:rPr/>
              <w:t> </w:t>
            </w:r>
          </w:p>
        </w:tc>
      </w:tr>
      <w:tr>
        <w:trPr/>
        <w:tc>
          <w:tcPr>
            <w:tcW w:w="8840" w:type="dxa"/>
            <w:tcBorders/>
            <w:shd w:fill="CCEEFF" w:val="clear"/>
            <w:vAlign w:val="center"/>
          </w:tcPr>
          <w:p>
            <w:pPr>
              <w:pStyle w:val="TableContents"/>
              <w:bidi w:val="0"/>
              <w:spacing w:before="0" w:after="283"/>
              <w:jc w:val="both"/>
              <w:rPr>
                <w:b/>
              </w:rPr>
            </w:pPr>
            <w:r>
              <w:rPr>
                <w:b/>
              </w:rPr>
              <w:t>Total convertible notes payable,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2,175,021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Interest expenses</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interest expenses recognized in the consolidated statements of operations was as follows:</w:t>
      </w:r>
    </w:p>
    <w:p>
      <w:pPr>
        <w:pStyle w:val="TextBody"/>
        <w:bidi w:val="0"/>
        <w:spacing w:before="0" w:after="0"/>
        <w:ind w:left="0" w:right="0" w:firstLine="360"/>
        <w:jc w:val="both"/>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2855"/>
        <w:gridCol w:w="60"/>
        <w:gridCol w:w="140"/>
        <w:gridCol w:w="980"/>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For the</w:t>
              <w:br/>
              <w:t>six months</w:t>
              <w:br/>
              <w:t>ended</w:t>
              <w:br/>
              <w:t>June 30,</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Contractual coupon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175,393</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1,682,944</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b/>
              </w:rPr>
            </w:pPr>
            <w:r>
              <w:rPr>
                <w:b/>
              </w:rPr>
              <w:t>Total interest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1,858,337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Convertible Promissory Note issued on August 7, 2025, matured on August 7, 2026, and remains outstanding as of the issuance date of these condensed consolidated financial statements. The Company is currently in active negotiations with Streeterville Capital, LLC to seek a waiver regarding any default penalties triggered by the maturity of the Note, and to determine a repayment schedule for the remaining balance.</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35"/>
        <w:gridCol w:w="2960"/>
      </w:tblGrid>
      <w:tr>
        <w:trPr/>
        <w:tc>
          <w:tcPr>
            <w:tcW w:w="335" w:type="dxa"/>
            <w:tcBorders/>
            <w:vAlign w:val="center"/>
          </w:tcPr>
          <w:p>
            <w:pPr>
              <w:pStyle w:val="TableContents"/>
              <w:bidi w:val="0"/>
              <w:spacing w:before="0" w:after="283"/>
              <w:jc w:val="left"/>
              <w:rPr>
                <w:b/>
              </w:rPr>
            </w:pPr>
            <w:r>
              <w:rPr>
                <w:b/>
              </w:rPr>
              <w:t>14.</w:t>
            </w:r>
          </w:p>
        </w:tc>
        <w:tc>
          <w:tcPr>
            <w:tcW w:w="2960" w:type="dxa"/>
            <w:tcBorders/>
            <w:vAlign w:val="center"/>
          </w:tcPr>
          <w:p>
            <w:pPr>
              <w:pStyle w:val="TableContents"/>
              <w:bidi w:val="0"/>
              <w:spacing w:before="0" w:after="283"/>
              <w:jc w:val="both"/>
              <w:rPr>
                <w:b/>
              </w:rPr>
            </w:pPr>
            <w:r>
              <w:rPr>
                <w:b/>
              </w:rPr>
              <w:t>DERIVATIVE LIABILITY</w:t>
            </w:r>
          </w:p>
        </w:tc>
      </w:tr>
    </w:tbl>
    <w:p>
      <w:pPr>
        <w:pStyle w:val="TextBody"/>
        <w:bidi w:val="0"/>
        <w:spacing w:before="0" w:after="0"/>
        <w:ind w:left="455"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was the conversion feature bifurcated from the convertible note contract as presented in Note 13. The movement of the derivative liability is as follows:</w:t>
      </w:r>
    </w:p>
    <w:p>
      <w:pPr>
        <w:pStyle w:val="TextBody"/>
        <w:bidi w:val="0"/>
        <w:spacing w:before="0" w:after="0"/>
        <w:ind w:left="0" w:right="0" w:firstLine="360"/>
        <w:jc w:val="both"/>
        <w:rPr>
          <w:caps w:val="false"/>
          <w:smallCaps w:val="false"/>
        </w:rPr>
      </w:pPr>
      <w:r>
        <w:rPr>
          <w:caps w:val="false"/>
          <w:smallCaps w:val="false"/>
        </w:rPr>
        <w:t> </w:t>
      </w:r>
    </w:p>
    <w:tbl>
      <w:tblPr>
        <w:tblW w:w="5789" w:type="dxa"/>
        <w:jc w:val="left"/>
        <w:tblInd w:w="0" w:type="dxa"/>
        <w:tblLayout w:type="fixed"/>
        <w:tblCellMar>
          <w:top w:w="0" w:type="dxa"/>
          <w:left w:w="0" w:type="dxa"/>
          <w:bottom w:w="0" w:type="dxa"/>
          <w:right w:w="0" w:type="dxa"/>
        </w:tblCellMar>
      </w:tblPr>
      <w:tblGrid>
        <w:gridCol w:w="2855"/>
        <w:gridCol w:w="60"/>
        <w:gridCol w:w="140"/>
        <w:gridCol w:w="1055"/>
        <w:gridCol w:w="95"/>
        <w:gridCol w:w="60"/>
        <w:gridCol w:w="176"/>
        <w:gridCol w:w="1238"/>
        <w:gridCol w:w="11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1,657,399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Issuance of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2,058,567</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Convert into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rFonts w:eastAsia="Times New Roman;Times;Serif"/>
                <w:sz w:val="20"/>
              </w:rPr>
              <w:t>　</w:t>
            </w: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Decrease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(1,512,221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(401,168</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both"/>
              <w:rPr/>
            </w:pPr>
            <w:r>
              <w:rPr/>
              <w:t>Ending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140,362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1,657,399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conversion feature (hereafter “Convertible Component”) in the amount of $140,362 was estimated using the Monte Carlo Simulation Model combined with Least Squares Monte Carlo (LSM) method to compute the Convertible Component’s fair value. The assumptions used to perform the Monte-Carlo simulation model below: </w:t>
      </w:r>
    </w:p>
    <w:p>
      <w:pPr>
        <w:pStyle w:val="TextBody"/>
        <w:bidi w:val="0"/>
        <w:spacing w:before="0" w:after="0"/>
        <w:ind w:left="0" w:right="0" w:firstLine="360"/>
        <w:jc w:val="both"/>
        <w:rPr>
          <w:caps w:val="false"/>
          <w:smallCaps w:val="false"/>
        </w:rPr>
      </w:pPr>
      <w:r>
        <w:rPr>
          <w:caps w:val="false"/>
          <w:smallCaps w:val="false"/>
        </w:rPr>
        <w:t> </w:t>
      </w:r>
    </w:p>
    <w:tbl>
      <w:tblPr>
        <w:tblW w:w="8939" w:type="dxa"/>
        <w:jc w:val="left"/>
        <w:tblInd w:w="0" w:type="dxa"/>
        <w:tblLayout w:type="fixed"/>
        <w:tblCellMar>
          <w:top w:w="0" w:type="dxa"/>
          <w:left w:w="0" w:type="dxa"/>
          <w:bottom w:w="0" w:type="dxa"/>
          <w:right w:w="0" w:type="dxa"/>
        </w:tblCellMar>
      </w:tblPr>
      <w:tblGrid>
        <w:gridCol w:w="3005"/>
        <w:gridCol w:w="60"/>
        <w:gridCol w:w="103"/>
        <w:gridCol w:w="966"/>
        <w:gridCol w:w="262"/>
        <w:gridCol w:w="73"/>
        <w:gridCol w:w="102"/>
        <w:gridCol w:w="953"/>
        <w:gridCol w:w="215"/>
        <w:gridCol w:w="60"/>
        <w:gridCol w:w="147"/>
        <w:gridCol w:w="1373"/>
        <w:gridCol w:w="262"/>
        <w:gridCol w:w="73"/>
        <w:gridCol w:w="102"/>
        <w:gridCol w:w="953"/>
        <w:gridCol w:w="230"/>
      </w:tblGrid>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August 2025</w:t>
              <w:br/>
              <w:t>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November 2025</w:t>
              <w:br/>
              <w:t>Convertible Notes</w:t>
            </w:r>
          </w:p>
        </w:tc>
        <w:tc>
          <w:tcPr>
            <w:tcW w:w="230" w:type="dxa"/>
            <w:tcBorders/>
            <w:vAlign w:val="center"/>
          </w:tcPr>
          <w:p>
            <w:pPr>
              <w:pStyle w:val="TableContents"/>
              <w:bidi w:val="0"/>
              <w:spacing w:before="0" w:after="283"/>
              <w:jc w:val="left"/>
              <w:rPr/>
            </w:pPr>
            <w:r>
              <w:rPr/>
              <w:t> </w:t>
            </w:r>
          </w:p>
        </w:tc>
      </w:tr>
      <w:tr>
        <w:trPr/>
        <w:tc>
          <w:tcPr>
            <w:tcW w:w="3005" w:type="dxa"/>
            <w:tcBorders>
              <w:bottom w:val="single" w:sz="12" w:space="0" w:color="000000"/>
            </w:tcBorders>
            <w:tcMar>
              <w:bottom w:w="28" w:type="dxa"/>
            </w:tcMar>
            <w:vAlign w:val="center"/>
          </w:tcPr>
          <w:p>
            <w:pPr>
              <w:pStyle w:val="TableContents"/>
              <w:bidi w:val="0"/>
              <w:spacing w:before="0" w:after="283"/>
              <w:jc w:val="left"/>
              <w:rPr>
                <w:b/>
              </w:rPr>
            </w:pPr>
            <w:r>
              <w:rPr>
                <w:b/>
              </w:rPr>
              <w:t>Assumption Parameters</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Issuance</w:t>
              <w:br/>
              <w:t>Date</w:t>
              <w:br/>
              <w:t>(August 7,</w:t>
              <w:br/>
              <w:t>2025)</w:t>
            </w:r>
          </w:p>
        </w:tc>
        <w:tc>
          <w:tcPr>
            <w:tcW w:w="26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Reporting</w:t>
              <w:br/>
              <w:t>date</w:t>
              <w:b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Issuance</w:t>
              <w:br/>
              <w:t>Date</w:t>
              <w:br/>
              <w:t>(November 17,</w:t>
              <w:br/>
              <w:t>2025)</w:t>
            </w:r>
          </w:p>
        </w:tc>
        <w:tc>
          <w:tcPr>
            <w:tcW w:w="262"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Reporting</w:t>
              <w:br/>
              <w:t>date</w:t>
              <w:br/>
              <w:t>(June 30,</w:t>
              <w:br/>
              <w:t>2026)</w:t>
            </w:r>
          </w:p>
        </w:tc>
        <w:tc>
          <w:tcPr>
            <w:tcW w:w="23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pPr>
            <w:r>
              <w:rPr/>
              <w:t>Risk-Free Rate</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3.90</w:t>
            </w:r>
          </w:p>
        </w:tc>
        <w:tc>
          <w:tcPr>
            <w:tcW w:w="262"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3.70</w:t>
            </w:r>
          </w:p>
        </w:tc>
        <w:tc>
          <w:tcPr>
            <w:tcW w:w="262"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3.98</w:t>
            </w:r>
          </w:p>
        </w:tc>
        <w:tc>
          <w:tcPr>
            <w:tcW w:w="230"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both"/>
              <w:rPr/>
            </w:pPr>
            <w:r>
              <w:rPr/>
              <w:t>Expected Stock Price Volatility</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130</w:t>
            </w:r>
          </w:p>
        </w:tc>
        <w:tc>
          <w:tcPr>
            <w:tcW w:w="262"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132</w:t>
            </w:r>
          </w:p>
        </w:tc>
        <w:tc>
          <w:tcPr>
            <w:tcW w:w="262"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112</w:t>
            </w:r>
          </w:p>
        </w:tc>
        <w:tc>
          <w:tcPr>
            <w:tcW w:w="23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both"/>
              <w:rPr/>
            </w:pPr>
            <w:r>
              <w:rPr/>
              <w:t>Risk-Adjusted Discount Rate</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12.30</w:t>
            </w:r>
          </w:p>
        </w:tc>
        <w:tc>
          <w:tcPr>
            <w:tcW w:w="262"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14.92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12.80</w:t>
            </w:r>
          </w:p>
        </w:tc>
        <w:tc>
          <w:tcPr>
            <w:tcW w:w="262"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15.18</w:t>
            </w:r>
          </w:p>
        </w:tc>
        <w:tc>
          <w:tcPr>
            <w:tcW w:w="230" w:type="dxa"/>
            <w:tcBorders/>
            <w:shd w:fill="CCEEFF" w:val="clear"/>
            <w:vAlign w:val="center"/>
          </w:tcPr>
          <w:p>
            <w:pPr>
              <w:pStyle w:val="TableContents"/>
              <w:bidi w:val="0"/>
              <w:spacing w:before="0" w:after="283"/>
              <w:jc w:val="left"/>
              <w:rPr/>
            </w:pPr>
            <w:r>
              <w:rPr/>
              <w:t>%</w:t>
            </w:r>
          </w:p>
        </w:tc>
      </w:tr>
      <w:tr>
        <w:trPr/>
        <w:tc>
          <w:tcPr>
            <w:tcW w:w="3005" w:type="dxa"/>
            <w:tcBorders/>
            <w:shd w:fill="FFFFFF" w:val="clear"/>
            <w:vAlign w:val="center"/>
          </w:tcPr>
          <w:p>
            <w:pPr>
              <w:pStyle w:val="TableContents"/>
              <w:bidi w:val="0"/>
              <w:spacing w:before="0" w:after="283"/>
              <w:jc w:val="both"/>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1.00</w:t>
            </w:r>
          </w:p>
        </w:tc>
        <w:tc>
          <w:tcPr>
            <w:tcW w:w="262"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0.12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1.00</w:t>
            </w:r>
          </w:p>
        </w:tc>
        <w:tc>
          <w:tcPr>
            <w:tcW w:w="262"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0.31</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80" w:right="0" w:hanging="48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35"/>
        <w:gridCol w:w="3845"/>
      </w:tblGrid>
      <w:tr>
        <w:trPr/>
        <w:tc>
          <w:tcPr>
            <w:tcW w:w="335" w:type="dxa"/>
            <w:tcBorders/>
            <w:vAlign w:val="center"/>
          </w:tcPr>
          <w:p>
            <w:pPr>
              <w:pStyle w:val="TableContents"/>
              <w:bidi w:val="0"/>
              <w:spacing w:before="0" w:after="283"/>
              <w:jc w:val="left"/>
              <w:rPr>
                <w:b/>
              </w:rPr>
            </w:pPr>
            <w:r>
              <w:rPr>
                <w:b/>
              </w:rPr>
              <w:t>15.</w:t>
            </w:r>
          </w:p>
        </w:tc>
        <w:tc>
          <w:tcPr>
            <w:tcW w:w="3845" w:type="dxa"/>
            <w:tcBorders/>
            <w:vAlign w:val="center"/>
          </w:tcPr>
          <w:p>
            <w:pPr>
              <w:pStyle w:val="TableContents"/>
              <w:bidi w:val="0"/>
              <w:spacing w:before="0" w:after="283"/>
              <w:jc w:val="both"/>
              <w:rPr>
                <w:b/>
              </w:rPr>
            </w:pPr>
            <w:r>
              <w:rPr>
                <w:b/>
              </w:rPr>
              <w:t>SHARE-BASED COMPENSATION</w:t>
            </w:r>
          </w:p>
        </w:tc>
      </w:tr>
    </w:tbl>
    <w:p>
      <w:pPr>
        <w:pStyle w:val="TextBody"/>
        <w:bidi w:val="0"/>
        <w:spacing w:before="0" w:after="0"/>
        <w:ind w:left="44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approved by the Board of Directors, the Company is authorized to grant equity-based awards to eligible directors, officers, employees, and consultants of the Group. Details of the share awards granted are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 2025, the Company entered into consulting agreements with five external consultants, who will provide services mainly including capital market strategy guidance, financing advisory, operational and logistics management, implementation and maintenance of International Organization for Standardization (“ISO”), data protection, and general business consulting, with a 48-month service term. Pursuant to the service agreement, the Group was required to issue 99,000,000 Class B Ordinary Shares for their service. The fair value of the services was determined to be $27,348,750 based on the Company’s ADS market price on January 2, 2025. The Company issued 99,000,000 Class B Ordinary Shares on January 2,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27, 2025, the Company entered into consulting agreements with two external consultants, who will provide services mainly including capital market strategy guidance, financing advisory, safety regulations and recommendation of protective equipment on company/business events, incident management, and general business consulting, with a 24-month service term or 48-month service term. Pursuant to the service agreement, the Group was required to issue 38,500,000 Class B Ordinary Shares for their service. The fair value of the services was determined to be $1,361,938 based on the Company’s ADS market price on May 27, 2025. The Company issued 38,500,000 Class B Ordinary Shares on May 27,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ASC 718, the aggregate 137,500,000 Class B ordinary shares granted as consulting compensation represent equity-settled share-based payments to non-employees. The Company will measure the fair value of the shares on the grant date and recognize this amount as consulting expenses ratably over the 48-month service period.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the Company entered into restricted share agreements with 14 people, including five directors, six employees and three consultants, with no service term or 10-year service term. Pursuant to the agreements, the Group was required to issue 193,360,650 Class B Ordinary Shares for their service. The fair value of was determined to be $10,409,248 based on the Company’s ADS market price on January 8, 2026. The Company issued 193,360,650 Class B Ordinary Shares on January 8, 2026. Giving retroactive effect to the 240-to-1 reverse share split effective July 16, 2026, the number of Class B ordinary shares issued was adjusted to 805,672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 2026, the Company entered into restricted share agreement with a consultant, with no service term. Pursuant to the agreement, the Group was required to issue 18,400,000 Class B Ordinary Shares for service. The fair value of was determined to be $496,800 based on the Company’s ADS market price on March 2, 2026. The Company issued 18,400,000 Class B Ordinary Shares on March 2, 2026. Giving retroactive effect to the 240-to-1 reverse share split effective July 16, 2026, the number of Class B ordinary shares issued was adjusted to 76,667.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ASC 718, the aggregate 211,760,650 Class B ordinary shares granted as compensation represent equity-settled share-based payments to non-employees and employees. The Company measured the fair value of the shares on the grant date and recognizes this amount as share-based compensation expenses immediately for no requisite service period or ratably over the 10-year service period.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Share-based compensation expenses of $7,384,559 and $7,022,746 were recognized for the six months ended June 30, 2026 and for the years ended December 31, 2025, respectively, all of which were allocated to general and administrative expenses. As of June 30, 2026, the unrecognized compensation expenses were $25,209,431. </w:t>
      </w:r>
    </w:p>
    <w:p>
      <w:pPr>
        <w:pStyle w:val="TextBody"/>
        <w:bidi w:val="0"/>
        <w:spacing w:before="0" w:after="0"/>
        <w:ind w:left="44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4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35"/>
        <w:gridCol w:w="2420"/>
      </w:tblGrid>
      <w:tr>
        <w:trPr/>
        <w:tc>
          <w:tcPr>
            <w:tcW w:w="335" w:type="dxa"/>
            <w:tcBorders/>
            <w:vAlign w:val="center"/>
          </w:tcPr>
          <w:p>
            <w:pPr>
              <w:pStyle w:val="TableContents"/>
              <w:bidi w:val="0"/>
              <w:spacing w:before="0" w:after="283"/>
              <w:jc w:val="left"/>
              <w:rPr>
                <w:b/>
              </w:rPr>
            </w:pPr>
            <w:r>
              <w:rPr>
                <w:b/>
              </w:rPr>
              <w:t>16.</w:t>
            </w:r>
          </w:p>
        </w:tc>
        <w:tc>
          <w:tcPr>
            <w:tcW w:w="2420" w:type="dxa"/>
            <w:tcBorders/>
            <w:vAlign w:val="center"/>
          </w:tcPr>
          <w:p>
            <w:pPr>
              <w:pStyle w:val="TableContents"/>
              <w:bidi w:val="0"/>
              <w:spacing w:before="0" w:after="283"/>
              <w:jc w:val="both"/>
              <w:rPr>
                <w:b/>
              </w:rPr>
            </w:pPr>
            <w:r>
              <w:rPr>
                <w:b/>
              </w:rPr>
              <w:t>ORDINARY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516,364,286 and 501,964,286 shares to the shareholders at par value $0.00001 per share, among which, 50,000,000 and 50,000,000 Class A ordinary shares, 466,364,286 and 451,964,286 Class B ordinary shares issued and outstanding as of December 31, 2024 and 2023, respectively. For the 410,205,000 shares issued before reorganization, the Company has retroactively restated those shares and per share data for all periods presented.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 </w:t>
      </w:r>
    </w:p>
    <w:p>
      <w:pPr>
        <w:pStyle w:val="TextBody"/>
        <w:bidi w:val="0"/>
        <w:spacing w:before="0" w:after="0"/>
        <w:ind w:left="440" w:right="0" w:hanging="4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31 and November 1, 2022, the Group and Soon Huat Lim entered into a series of share sale agreement and supplemental agreements with Soon Tai Lee, a third-party investor. Pursuant to the agreements, the Company issued 45,000,000 Class B Ordinary Shares of the Company to Soon Tai Lee in exchange of $3,000,000 cash consideration and Soon Huat Lim sold his 30,000,000 Class B Ordinary Shares of the Company to Soon Tai Lee in exchange of $2,000,000 cash consideration. The Group collected the consideration on January 26, 2023.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4 and May 5, 2023, the Group and Soon Huat Lim entered into a series of share sale agreement and supplemental agreements with Yat Hong Lo, a third-party investor. Pursuant to the agreements, the Company issued 20,000,000 Class B Ordinary Shares of the Company to Yat Hong Lo in exchange of $4,000,000 cash consideration and Soon Huat Lim sold his 5,000,000 Class B Ordinary Shares of the Company to Yat Hong Lo in exchange of $1,000,000 cash consideration. The Group collected all the consideration on June 8, 2023.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29, 2023, the Group entered into a share subscription agreement with Broad Fund Management Limited, a third-party investor. Pursuant to the agreement, the Company issued 892,857 Class B Ordinary Shares of the Company to Broad Fund Management Limited in exchange of $500,000 cash consideration. The Group collected all the consideration on October 6, 2023.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29, 2023, the Group and Soon Huat Lim entered into a share subscription and purchase agreement with Choon How Liew, Vijai Dharamdas Parwani, and Wong Yee Fune, respectively, who are third-party investors. Pursuant to the agreement, the Company issued 446,429, 357,143 and 267,857 Class B Ordinary Shares to Choon How Liew, Vijai Dharamdas Parwani, and Wong Yee Fune in exchange of $250,000, $200,000 and $150,000 cash consideration, respectively; and Soon Huat Lim sold his 446,429, 357,143 and 267,857 Class B Ordinary Shares to Choon How Liew, Vijai Dharamdas Parwani, and Wong Yee Fune in exchange of $250,000, $200,000 and $150,000 cash consideration. The Group collected all the consideration before December 21, 2023.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above transactions, Soon Tai Lee, Yat Hong Lo, Choon How Liew, Broad Fund Management Limited, Vijai Dharamdas Parwani, and Wong Yee Fune became shareholders of the Group, and Soon Huat Lim still remain as ultimate controller of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11, 2024, the Group completed its initial public offering of 1,800,000 American Depositary Shares (“ADSs”) at a price to the public of US$5.00 per ADS, representing 14,400,000 Class B ordinary share for a total offering size of US$9.0 million. The net proceeds raised from the initial public offering were approximately US$5.6 million. </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2025, and May 27, 2025, the Company entered into consulting agreements with several external consultants, who will provide services including capital market strategy guidance, financing advisory, and general business consulting over a 12- or 24-month period. As compensation, the Company granted and issued an aggregate of 137,500,000 Class B ordinary shares to the consultants. Details of the share-based compensation refer to Note 15.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7, 2025, pursuant to the August 2025 Convertible Notes SPA, the Company issued 14,295,000 Pre-Delivery Shares of the Convertible Note which were not considered outstanding unless default of the share lending arrangement occurs. Please refer to Note 13 for more details of the Convertible Note.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2025, the Company issued 104,000,000 Class B ordinary shares as consideration to acquire a 30% equity interest in Tongxin Innovation Limited (“Tongxin”). Please refer to Note 7 for more details of long-term investment.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2025, the Company entered into a private investment in public equity (PIPE) transaction pursuant to a Securities Purchase Agreement with five designated purchasers (the “Purchasers”). Pursuant to the PIPE transaction, the Company issued an aggregate of 18,575,714 ADSs to the Purchasers, with each ADS representing 8 Class B Ordinary Shares of the Company, totaling 148,605,714 Class B Ordinary Shares. The purchase price per ADS was US$0.14, resulting in gross proceeds of US$2,600,600 and net proceeds of US$1,981,382 after the deductions for the transaction fees and expenses. On September 18, 2025, the Company completed the issuance of the aforementioned shares and received the proceeds.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17, 2025, in connection with the issuance of another Convertible Promissory Note (see Note 13 - Convertible Notes Payable), the Company agreed to issue 27,936,500 Class B Ordinary Shares as Pre-Delivery Shares to the note investor. As of December 31, 2025, these Pre-Delivery Shares had not yet been legally issued and remained as an unissued obligation of the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and March 2, 2026, the Company entered into restricted share agreements with fifteen people, including five directors, six employees and four consultants, with no service term or 10-year service term. Pursuant to the agreements, the Group granted and issued 882,339 Class B Ordinary Shares (adjusted from the historically issued 211,760,650 shares to give retroactive effect to the 240-to-1 reverse share split) for their service. Details of the share-based compensation refer to Note 15.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Effective from April 24, 2026, the Company changed the ratio of its ADSs to its Class B ordinary shares from the previous ratio of one ADS representing eight Class B ordinary shares to a new ratio of one ADS representing two hundred and forty Class B ordinary shares (the “ADS Ratio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9, 2026 and May 20, 2026, under the August 2025 Convertible Notes SPA, the investor converted US$50,000 and US$110,000 of the principal into 903,179 and 98,179 ADSs at conversion prices of US$0.05536 and US$1.1204 per ADS, respectively. After retrospectively adjusting for the change in the ADS ratio and the 240-to-1 reverse share split effective July 16, 2026, these conversions represent 30,106 and 98,179 Class B ordinary shares of the Company, respectively. </w:t>
      </w:r>
    </w:p>
    <w:p>
      <w:pPr>
        <w:pStyle w:val="TextBody"/>
        <w:bidi w:val="0"/>
        <w:spacing w:before="0" w:after="0"/>
        <w:ind w:left="0" w:right="0" w:firstLine="36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Company held an extraordinary general meeting of shareholders (the “EGM”). At the EGM, the Company’s shareholders approved the following matters: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42"/>
        <w:gridCol w:w="9889"/>
      </w:tblGrid>
      <w:tr>
        <w:trPr/>
        <w:tc>
          <w:tcPr>
            <w:tcW w:w="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both"/>
              <w:rPr/>
            </w:pPr>
            <w:r>
              <w:rPr/>
              <w:t>a share redesignation of (a) 40,000,000 authorized but unissued Class A Ordinary Shares to 40,000,000 blank shares and (b) 20,000,000 authorized but unissued Class C Ordinary Shares to 20,000,000 blank shares (collectively, the “Share Redesignations”).</w:t>
            </w:r>
          </w:p>
        </w:tc>
      </w:tr>
      <w:tr>
        <w:trPr/>
        <w:tc>
          <w:tcPr>
            <w:tcW w:w="74"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988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233"/>
        <w:gridCol w:w="9898"/>
      </w:tblGrid>
      <w:tr>
        <w:trPr/>
        <w:tc>
          <w:tcPr>
            <w:tcW w:w="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(2)</w:t>
            </w:r>
          </w:p>
        </w:tc>
        <w:tc>
          <w:tcPr>
            <w:tcW w:w="9898" w:type="dxa"/>
            <w:tcBorders/>
            <w:vAlign w:val="center"/>
          </w:tcPr>
          <w:p>
            <w:pPr>
              <w:pStyle w:val="TableContents"/>
              <w:bidi w:val="0"/>
              <w:spacing w:before="0" w:after="283"/>
              <w:jc w:val="both"/>
              <w:rPr/>
            </w:pPr>
            <w:r>
              <w:rPr/>
              <w:t>immediately following the Share Redesignations, an increase in the Company’s authorized share capital from US$50,000 to $1,200,000, divided into 120,000,000,000 shares of a par value of $0.00001 each, comprising 23,040,000,000 Class A ordinary shares, 72,000,000,000 Class B ordinary shares, 11,520,000,000 Class C ordinary shares and 13,440,000,000 blank shares.</w:t>
            </w:r>
          </w:p>
        </w:tc>
      </w:tr>
      <w:tr>
        <w:trPr/>
        <w:tc>
          <w:tcPr>
            <w:tcW w:w="74"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both"/>
              <w:rPr/>
            </w:pPr>
            <w:r>
              <w:rPr/>
              <w:t>immediately following the increase of authorized share capital, a share consolidation whereby every 240 existing ordinary shares of a par value of US$0.00001 each will be consolidated into one ordinary share of a par value of $0.0024 each, to take effect immediately following the completion of the mandatory exchange of all outstanding ADSs for the underlying Class B ordinary shares pursuant to the termination of the deposit agreement, dated as of September 11, 2024, as amended, among the Company, Citibank, N.A. and the holders and beneficial owners of ADSs from time to time. Following the Share Consolidation, the Company’s authorized share capital is $1,200,000 divided into 500,000,000 shares of a par value of $0.0024 each, comprising 96,000,000 Class A ordinary shares, 300,000,000 Class B ordinary shares, 48,000,000 Class C ordinary shares and 56,000,000 shares of such class or classes (however designated) as the board of directors may determine. No fractional shares will be issued in connection with the Share Consolidation, and any fractional entitlement will be rounded down to the nearest whole share if less than 0.5 and rounded up to the nearest whole share if 0.5 or more.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retroactively restated those shares and per share data for all periods presented. As of June 30, 2026, 208,333 Class A ordinary shares had been issued and outstanding, and 4,638,810 Class B ordinary shares had been issued and outstanding. </w:t>
      </w:r>
    </w:p>
    <w:p>
      <w:pPr>
        <w:pStyle w:val="TextBody"/>
        <w:bidi w:val="0"/>
        <w:spacing w:before="0" w:after="0"/>
        <w:ind w:left="0" w:right="0" w:firstLine="36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335"/>
        <w:gridCol w:w="2240"/>
      </w:tblGrid>
      <w:tr>
        <w:trPr/>
        <w:tc>
          <w:tcPr>
            <w:tcW w:w="335" w:type="dxa"/>
            <w:tcBorders/>
            <w:vAlign w:val="center"/>
          </w:tcPr>
          <w:p>
            <w:pPr>
              <w:pStyle w:val="TableContents"/>
              <w:bidi w:val="0"/>
              <w:spacing w:before="0" w:after="283"/>
              <w:jc w:val="left"/>
              <w:rPr>
                <w:b/>
              </w:rPr>
            </w:pPr>
            <w:r>
              <w:rPr>
                <w:b/>
              </w:rPr>
              <w:t>17.</w:t>
            </w:r>
          </w:p>
        </w:tc>
        <w:tc>
          <w:tcPr>
            <w:tcW w:w="2240" w:type="dxa"/>
            <w:tcBorders/>
            <w:vAlign w:val="center"/>
          </w:tcPr>
          <w:p>
            <w:pPr>
              <w:pStyle w:val="TableContents"/>
              <w:bidi w:val="0"/>
              <w:spacing w:before="0" w:after="283"/>
              <w:jc w:val="both"/>
              <w:rPr>
                <w:b/>
              </w:rPr>
            </w:pPr>
            <w:r>
              <w:rPr>
                <w:b/>
              </w:rPr>
              <w:t>CONCENTRATION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credit losses. The Group conducts periodic reviews of the financial condition and payment practices of its customers to minimize collection risk on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single customer that accounted for over 10% of the Group’s accounts receivable as of June 30,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customers who represented 10% or more of the Group’s total revenue.</w:t>
      </w:r>
    </w:p>
    <w:p>
      <w:pPr>
        <w:pStyle w:val="TextBody"/>
        <w:bidi w:val="0"/>
        <w:spacing w:before="0" w:after="0"/>
        <w:ind w:left="0" w:right="0" w:firstLine="360"/>
        <w:jc w:val="both"/>
        <w:rPr>
          <w:caps w:val="false"/>
          <w:smallCaps w:val="false"/>
        </w:rPr>
      </w:pPr>
      <w:r>
        <w:rPr>
          <w:caps w:val="false"/>
          <w:smallCaps w:val="false"/>
        </w:rPr>
        <w:t> </w:t>
      </w:r>
    </w:p>
    <w:tbl>
      <w:tblPr>
        <w:tblW w:w="6703" w:type="dxa"/>
        <w:jc w:val="left"/>
        <w:tblInd w:w="0" w:type="dxa"/>
        <w:tblLayout w:type="fixed"/>
        <w:tblCellMar>
          <w:top w:w="0" w:type="dxa"/>
          <w:left w:w="0" w:type="dxa"/>
          <w:bottom w:w="0" w:type="dxa"/>
          <w:right w:w="0" w:type="dxa"/>
        </w:tblCellMar>
      </w:tblPr>
      <w:tblGrid>
        <w:gridCol w:w="3785"/>
        <w:gridCol w:w="60"/>
        <w:gridCol w:w="161"/>
        <w:gridCol w:w="700"/>
        <w:gridCol w:w="700"/>
        <w:gridCol w:w="161"/>
        <w:gridCol w:w="161"/>
        <w:gridCol w:w="700"/>
        <w:gridCol w:w="275"/>
      </w:tblGrid>
      <w:tr>
        <w:trPr/>
        <w:tc>
          <w:tcPr>
            <w:tcW w:w="37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Percentage of the Group’s total revenue</w:t>
            </w:r>
          </w:p>
        </w:tc>
        <w:tc>
          <w:tcPr>
            <w:tcW w:w="60"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both"/>
              <w:rPr/>
            </w:pPr>
            <w:r>
              <w:rPr/>
              <w:t> </w:t>
            </w:r>
          </w:p>
        </w:tc>
        <w:tc>
          <w:tcPr>
            <w:tcW w:w="70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Customer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96</w:t>
            </w:r>
          </w:p>
        </w:tc>
        <w:tc>
          <w:tcPr>
            <w:tcW w:w="700" w:type="dxa"/>
            <w:tcBorders/>
            <w:shd w:fill="CCEEFF" w:val="clear"/>
            <w:vAlign w:val="center"/>
          </w:tcPr>
          <w:p>
            <w:pPr>
              <w:pStyle w:val="TableContents"/>
              <w:bidi w:val="0"/>
              <w:spacing w:before="0" w:after="283"/>
              <w:jc w:val="lef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pPr>
            <w:r>
              <w:rPr/>
              <w:t>Customer B</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 xml:space="preserve">* </w:t>
            </w:r>
          </w:p>
        </w:tc>
        <w:tc>
          <w:tcPr>
            <w:tcW w:w="70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47</w:t>
            </w:r>
          </w:p>
        </w:tc>
        <w:tc>
          <w:tcPr>
            <w:tcW w:w="275"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both"/>
              <w:rPr/>
            </w:pPr>
            <w:r>
              <w:rPr/>
              <w:t>Customer C</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sz w:val="20"/>
              </w:rPr>
              <w:t xml:space="preserve">* </w:t>
            </w:r>
          </w:p>
        </w:tc>
        <w:tc>
          <w:tcPr>
            <w:tcW w:w="70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w:t>
            </w:r>
          </w:p>
        </w:tc>
      </w:tr>
      <w:tr>
        <w:trPr/>
        <w:tc>
          <w:tcPr>
            <w:tcW w:w="3785"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96</w:t>
            </w:r>
          </w:p>
        </w:tc>
        <w:tc>
          <w:tcPr>
            <w:tcW w:w="700" w:type="dxa"/>
            <w:tcBorders/>
            <w:shd w:fill="FFFFFF" w:val="clear"/>
            <w:vAlign w:val="center"/>
          </w:tcPr>
          <w:p>
            <w:pPr>
              <w:pStyle w:val="TableContents"/>
              <w:bidi w:val="0"/>
              <w:spacing w:before="0" w:after="283"/>
              <w:jc w:val="left"/>
              <w:rPr>
                <w:b/>
              </w:rPr>
            </w:pPr>
            <w:r>
              <w:rPr>
                <w:b/>
              </w:rPr>
              <w:t>%</w:t>
            </w:r>
          </w:p>
        </w:tc>
        <w:tc>
          <w:tcPr>
            <w:tcW w:w="161"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86</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40"/>
        <w:gridCol w:w="294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 percentage less than 10%</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suppliers who represented 10% or more of the Group’s total purchase.</w:t>
      </w:r>
    </w:p>
    <w:p>
      <w:pPr>
        <w:pStyle w:val="TextBody"/>
        <w:bidi w:val="0"/>
        <w:spacing w:before="0" w:after="0"/>
        <w:ind w:left="0" w:right="0" w:firstLine="360"/>
        <w:jc w:val="both"/>
        <w:rPr>
          <w:caps w:val="false"/>
          <w:smallCaps w:val="false"/>
        </w:rPr>
      </w:pPr>
      <w:r>
        <w:rPr>
          <w:caps w:val="false"/>
          <w:smallCaps w:val="false"/>
        </w:rPr>
        <w:t> </w:t>
      </w:r>
    </w:p>
    <w:tbl>
      <w:tblPr>
        <w:tblW w:w="6793" w:type="dxa"/>
        <w:jc w:val="left"/>
        <w:tblInd w:w="0" w:type="dxa"/>
        <w:tblLayout w:type="fixed"/>
        <w:tblCellMar>
          <w:top w:w="0" w:type="dxa"/>
          <w:left w:w="0" w:type="dxa"/>
          <w:bottom w:w="0" w:type="dxa"/>
          <w:right w:w="0" w:type="dxa"/>
        </w:tblCellMar>
      </w:tblPr>
      <w:tblGrid>
        <w:gridCol w:w="3875"/>
        <w:gridCol w:w="60"/>
        <w:gridCol w:w="161"/>
        <w:gridCol w:w="700"/>
        <w:gridCol w:w="700"/>
        <w:gridCol w:w="161"/>
        <w:gridCol w:w="161"/>
        <w:gridCol w:w="700"/>
        <w:gridCol w:w="275"/>
      </w:tblGrid>
      <w:tr>
        <w:trPr/>
        <w:tc>
          <w:tcPr>
            <w:tcW w:w="38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both"/>
              <w:rPr/>
            </w:pPr>
            <w:r>
              <w:rPr/>
              <w:t>Percentage of the Group’s total purchase</w:t>
            </w:r>
          </w:p>
        </w:tc>
        <w:tc>
          <w:tcPr>
            <w:tcW w:w="60"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both"/>
              <w:rPr/>
            </w:pPr>
            <w:r>
              <w:rPr/>
              <w:t> </w:t>
            </w:r>
          </w:p>
        </w:tc>
        <w:tc>
          <w:tcPr>
            <w:tcW w:w="70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pPr>
            <w:r>
              <w:rPr/>
              <w:t>Supplier 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23</w:t>
            </w:r>
          </w:p>
        </w:tc>
        <w:tc>
          <w:tcPr>
            <w:tcW w:w="700" w:type="dxa"/>
            <w:tcBorders/>
            <w:shd w:fill="CCEEFF" w:val="clear"/>
            <w:vAlign w:val="center"/>
          </w:tcPr>
          <w:p>
            <w:pPr>
              <w:pStyle w:val="TableContents"/>
              <w:bidi w:val="0"/>
              <w:spacing w:before="0" w:after="283"/>
              <w:jc w:val="lef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both"/>
              <w:rPr/>
            </w:pPr>
            <w:r>
              <w:rPr/>
              <w:t>Supplier B</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0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275"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w:t>
            </w:r>
          </w:p>
        </w:tc>
        <w:tc>
          <w:tcPr>
            <w:tcW w:w="700" w:type="dxa"/>
            <w:tcBorders/>
            <w:shd w:fill="CCEEFF" w:val="clear"/>
            <w:vAlign w:val="center"/>
          </w:tcPr>
          <w:p>
            <w:pPr>
              <w:pStyle w:val="TableContents"/>
              <w:bidi w:val="0"/>
              <w:spacing w:before="0" w:after="283"/>
              <w:jc w:val="left"/>
              <w:rPr>
                <w:b/>
              </w:rPr>
            </w:pPr>
            <w:r>
              <w:rPr>
                <w:b/>
              </w:rPr>
              <w:t>%</w:t>
            </w:r>
          </w:p>
        </w:tc>
        <w:tc>
          <w:tcPr>
            <w:tcW w:w="161"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480" w:right="0" w:hanging="48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40"/>
        <w:gridCol w:w="294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 percentage less than 10%</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single suppliers who represented 10% or more of the Group’s total accounts payable.</w:t>
      </w:r>
    </w:p>
    <w:p>
      <w:pPr>
        <w:pStyle w:val="TextBody"/>
        <w:bidi w:val="0"/>
        <w:spacing w:before="0" w:after="0"/>
        <w:ind w:left="0" w:right="0" w:firstLine="360"/>
        <w:jc w:val="both"/>
        <w:rPr>
          <w:caps w:val="false"/>
          <w:smallCaps w:val="false"/>
        </w:rPr>
      </w:pPr>
      <w:r>
        <w:rPr>
          <w:caps w:val="false"/>
          <w:smallCaps w:val="false"/>
        </w:rPr>
        <w:t> </w:t>
      </w:r>
    </w:p>
    <w:tbl>
      <w:tblPr>
        <w:tblW w:w="7133" w:type="dxa"/>
        <w:jc w:val="left"/>
        <w:tblInd w:w="0" w:type="dxa"/>
        <w:tblLayout w:type="fixed"/>
        <w:tblCellMar>
          <w:top w:w="0" w:type="dxa"/>
          <w:left w:w="0" w:type="dxa"/>
          <w:bottom w:w="0" w:type="dxa"/>
          <w:right w:w="0" w:type="dxa"/>
        </w:tblCellMar>
      </w:tblPr>
      <w:tblGrid>
        <w:gridCol w:w="4190"/>
        <w:gridCol w:w="60"/>
        <w:gridCol w:w="163"/>
        <w:gridCol w:w="711"/>
        <w:gridCol w:w="260"/>
        <w:gridCol w:w="60"/>
        <w:gridCol w:w="264"/>
        <w:gridCol w:w="1150"/>
        <w:gridCol w:w="275"/>
      </w:tblGrid>
      <w:tr>
        <w:trPr/>
        <w:tc>
          <w:tcPr>
            <w:tcW w:w="4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As of </w:t>
              <w:br/>
              <w:t>June 30,</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275" w:type="dxa"/>
            <w:tcBorders/>
            <w:vAlign w:val="center"/>
          </w:tcPr>
          <w:p>
            <w:pPr>
              <w:pStyle w:val="TableContents"/>
              <w:bidi w:val="0"/>
              <w:spacing w:before="0" w:after="283"/>
              <w:jc w:val="center"/>
              <w:rPr/>
            </w:pPr>
            <w:r>
              <w:rPr/>
              <w:t> </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both"/>
              <w:rPr/>
            </w:pPr>
            <w:r>
              <w:rPr/>
              <w:t>Percentage of the Group’s accounts payable</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both"/>
              <w:rPr/>
            </w:pPr>
            <w:r>
              <w:rPr/>
              <w:t>Supplier C</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27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w:t>
            </w:r>
          </w:p>
        </w:tc>
      </w:tr>
      <w:tr>
        <w:trPr/>
        <w:tc>
          <w:tcPr>
            <w:tcW w:w="4190" w:type="dxa"/>
            <w:tcBorders/>
            <w:shd w:fill="FFFFFF" w:val="clear"/>
            <w:vAlign w:val="center"/>
          </w:tcPr>
          <w:p>
            <w:pPr>
              <w:pStyle w:val="TableContents"/>
              <w:bidi w:val="0"/>
              <w:spacing w:before="0" w:after="283"/>
              <w:jc w:val="both"/>
              <w:rPr/>
            </w:pPr>
            <w:r>
              <w:rPr/>
              <w:t>Supplier 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14</w:t>
            </w:r>
          </w:p>
        </w:tc>
        <w:tc>
          <w:tcPr>
            <w:tcW w:w="275" w:type="dxa"/>
            <w:tcBorders/>
            <w:shd w:fill="FFFFFF" w:val="clear"/>
            <w:vAlign w:val="center"/>
          </w:tcPr>
          <w:p>
            <w:pPr>
              <w:pStyle w:val="TableContents"/>
              <w:bidi w:val="0"/>
              <w:spacing w:before="0" w:after="283"/>
              <w:jc w:val="left"/>
              <w:rPr/>
            </w:pPr>
            <w:r>
              <w:rPr/>
              <w:t>%</w:t>
            </w:r>
          </w:p>
        </w:tc>
      </w:tr>
      <w:tr>
        <w:trPr/>
        <w:tc>
          <w:tcPr>
            <w:tcW w:w="4190" w:type="dxa"/>
            <w:tcBorders/>
            <w:shd w:fill="CCEEFF" w:val="clear"/>
            <w:vAlign w:val="center"/>
          </w:tcPr>
          <w:p>
            <w:pPr>
              <w:pStyle w:val="TableContents"/>
              <w:bidi w:val="0"/>
              <w:spacing w:before="0" w:after="283"/>
              <w:jc w:val="both"/>
              <w:rPr/>
            </w:pPr>
            <w:r>
              <w:rPr/>
              <w:t>Supplier 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14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w:t>
            </w:r>
          </w:p>
        </w:tc>
      </w:tr>
      <w:tr>
        <w:trPr/>
        <w:tc>
          <w:tcPr>
            <w:tcW w:w="4190" w:type="dxa"/>
            <w:tcBorders/>
            <w:shd w:fill="FFFFFF" w:val="clear"/>
            <w:vAlign w:val="center"/>
          </w:tcPr>
          <w:p>
            <w:pPr>
              <w:pStyle w:val="TableContents"/>
              <w:bidi w:val="0"/>
              <w:spacing w:before="0" w:after="283"/>
              <w:jc w:val="both"/>
              <w:rPr/>
            </w:pPr>
            <w:r>
              <w:rPr/>
              <w:t>Supplier 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275" w:type="dxa"/>
            <w:tcBorders/>
            <w:shd w:fill="FFFFFF" w:val="clear"/>
            <w:vAlign w:val="center"/>
          </w:tcPr>
          <w:p>
            <w:pPr>
              <w:pStyle w:val="TableContents"/>
              <w:bidi w:val="0"/>
              <w:spacing w:before="0" w:after="283"/>
              <w:jc w:val="left"/>
              <w:rPr/>
            </w:pPr>
            <w:r>
              <w:rPr/>
              <w:t>%</w:t>
            </w:r>
          </w:p>
        </w:tc>
      </w:tr>
      <w:tr>
        <w:trPr/>
        <w:tc>
          <w:tcPr>
            <w:tcW w:w="4190"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480" w:right="0" w:hanging="48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40"/>
        <w:gridCol w:w="294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 percentage less than 10%</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335"/>
        <w:gridCol w:w="4700"/>
      </w:tblGrid>
      <w:tr>
        <w:trPr/>
        <w:tc>
          <w:tcPr>
            <w:tcW w:w="335" w:type="dxa"/>
            <w:tcBorders/>
            <w:vAlign w:val="center"/>
          </w:tcPr>
          <w:p>
            <w:pPr>
              <w:pStyle w:val="TableContents"/>
              <w:bidi w:val="0"/>
              <w:spacing w:before="0" w:after="283"/>
              <w:jc w:val="left"/>
              <w:rPr>
                <w:b/>
              </w:rPr>
            </w:pPr>
            <w:r>
              <w:rPr>
                <w:b/>
              </w:rPr>
              <w:t>18.</w:t>
            </w:r>
          </w:p>
        </w:tc>
        <w:tc>
          <w:tcPr>
            <w:tcW w:w="4700"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Group had no other significant financial or capital commitment, except for the event mentioned below.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50% equity interest in Trident Aliska, established on December 9, 2025, and accounts for this investment using the equity method. Under the joint venture agreement, the Company is committed to contributing technology, development expertise, digital platforms, and necessary technical resources to Trident Aliska. Additional financial or resource contributions, if required, are to be mutually agreed in writing and, unless otherwise decided, shared on a 50/50 basis. As of June 30, 2026, the Company had not made any capital contribution to the JV, and no liability related to this commitment has been recognized in the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335"/>
        <w:gridCol w:w="2735"/>
      </w:tblGrid>
      <w:tr>
        <w:trPr/>
        <w:tc>
          <w:tcPr>
            <w:tcW w:w="335" w:type="dxa"/>
            <w:tcBorders/>
            <w:vAlign w:val="center"/>
          </w:tcPr>
          <w:p>
            <w:pPr>
              <w:pStyle w:val="TableContents"/>
              <w:bidi w:val="0"/>
              <w:spacing w:before="0" w:after="283"/>
              <w:jc w:val="left"/>
              <w:rPr>
                <w:b/>
              </w:rPr>
            </w:pPr>
            <w:r>
              <w:rPr>
                <w:b/>
              </w:rPr>
              <w:t>19.</w:t>
            </w:r>
          </w:p>
        </w:tc>
        <w:tc>
          <w:tcPr>
            <w:tcW w:w="273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subsequent events through the date of issuance of the unaudited condensed consolidated financial statements, except for the events mentioned below, the Group did not identify any subsequent events with material financial impact on the Group’s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2026, the Company entered into an exchange agreement with Digital Innovations Group, Inc. (“DIG”) to acquire 990,000 shares of DIG common stock in exchange for the issuance of Class B Ordinary Shares of the Company with an aggregate value of US$2,000,000. Subject to customary conditions precedent including due diligence and ancillary agreements, the transaction had its initial closing on July 17, 2026. The Class B Ordinary Shares are issuable in four quarterly tranches of US$500,000 each, priced at the five-day volume-weighted average price (“VWAP”) on Nasdaq prior to each issuance date, subject to a value true-up upon the final tranche. Because closing conditions were satisfied after the balance sheet date, the transaction was accounted for as a non-recognized subsequent event as of June 30,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2026, the Company entered into a share subscription agreement with Mr. Soon Huat Lim, the Company’s founder, Chairman and Chief Executive Officer (the “CEO”), pursuant to which the CEO agreed to convert approximately US$8.0 million of outstanding indebtedness owed by the Company to him into 901,408,450 restricted Class B Ordinary Shares of the Company, at a conversion price of US$0.008875 per share. The conversion price was determined based on the closing price of the Company’s ADSs on June 18,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Company held an extraordinary general meeting of shareholders (the “EGM”). At the EGM, the Company’s shareholders approved the following matters: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283"/>
              <w:jc w:val="both"/>
              <w:rPr/>
            </w:pPr>
            <w:r>
              <w:rPr/>
              <w:t>a share redesignation of (a) 40,000,000 authorized but unissued Class A Ordinary Shares to 40,000,000 blank shares and (b) 20,000,000 authorized but unissued Class C Ordinary Shares to 20,000,000 blank shares (collectively, the “Share Redesignations”).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283"/>
              <w:jc w:val="both"/>
              <w:rPr/>
            </w:pPr>
            <w:r>
              <w:rPr/>
              <w:t>immediately following the Share Redesignations, an increase in the Company’s authorized share capital from $50,000 to US$1,200,000, divided into 120,000,000,000 shares of a par value of US$0.00001 each, comprising 23,040,000,000 Class A ordinary shares, 72,000,000,000 Class B ordinary shares, 11,520,000,000 Class C ordinary shares and 13,440,000,000 blank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both"/>
              <w:rPr/>
            </w:pPr>
            <w:r>
              <w:rPr/>
              <w:t>immediately following the increase of authorized share capital, a share consolidation whereby every 240 existing ordinary shares of a par value of US$0.00001 each will be consolidated into one ordinary share of a par value of US$0.0024 each, to take effect immediately following the completion of the mandatory exchange of all outstanding ADSs for the underlying Class B ordinary shares pursuant to the termination of the deposit agreement, dated as of September 11, 2024, as amended, among the Company, Citibank, N.A. and the holders and beneficial owners of ADSs from time to time. Following the Share Consolidation, the Company’s authorized share capital is US$1,200,000 divided into 500,000,000 shares of a par value of $0.0024 each, comprising 96,000,000 Class A ordinary shares, 300,000,000 Class B ordinary shares, 48,000,000 Class C ordinary shares and 56,000,000 shares of such class or classes (however designated) as the board of directors may determine. No fractional shares will be issued in connection with the Share Consolidation, and any fractional entitlement will be rounded down to the nearest whole share if less than 0.5 and rounded up to the nearest whole share if 0.5 or more.</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matters were completed and changed on July 16, 2026. The Company has retroactively restated those shares and per share data for all periods presented. As of June 30, 2026, 208,333 Class A ordinary shares had been issued and outstanding, and 4,638,810 Class B ordinary shares had been issued and outstanding.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2026, the Company executed a joint venture agreement with Digital Innovations Group, Inc. (“DIG”), a U.S. company that owns the IRMA AI Engine, to establish IRMA Asia Pte. Ltd. (“IRMA Asia”), a Singapore-based 50/50 joint venture to commercialize the IRMA Engine as IRMA Engine Asia across Asia, the Middle East and Africa.</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2026, the Company completed two separate equity financings, issuing an aggregate of 50,000,000 Class B ordinary shares (par value $0.0024 per share) for total gross proceeds of $23.0 million. Specifically, on September 8, the Company issued and sold 20,000,000 shares to certain non-U.S. investors at a purchase price of $0.40 per share for gross proceeds of $8.0 million. Subsequently, on September 29, the Company closed a registered direct offering, issuing and selling an additional 30,000,000 shares to certain investors at an offering price of $0.50 per share for gross proceeds of $15.0 million. For both transactions, the respective investors paid their purchase prices entirely in USD Coin (“USDC”), Tether (“USDT”), or a combination thereof. </w:t>
      </w:r>
    </w:p>
    <w:p>
      <w:pPr>
        <w:pStyle w:val="TextBody"/>
        <w:bidi w:val="0"/>
        <w:spacing w:before="0" w:after="0"/>
        <w:ind w:left="0" w:right="0" w:firstLine="40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jc w:val="right"/>
        <w:rPr>
          <w:b/>
        </w:rPr>
      </w:pPr>
      <w:bookmarkStart w:id="9" w:name="ea030767701ex99-2.htm"/>
      <w:bookmarkStart w:id="10" w:name="ksea030767701ex992"/>
      <w:bookmarkEnd w:id="9"/>
      <w:bookmarkEnd w:id="10"/>
      <w:r>
        <w:rPr>
          <w:b/>
        </w:rPr>
        <w:t>Exhibit 99.2</w:t>
      </w:r>
      <w:r>
        <w:br w:type="page"/>
      </w:r>
    </w:p>
    <w:p>
      <w:pPr>
        <w:pStyle w:val="TextBody"/>
        <w:bidi w:val="0"/>
        <w:jc w:val="center"/>
        <w:rPr/>
      </w:pPr>
      <w:r>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the financial condition and results of operations is based upon and should be read in conjunction with the unaudited financial results and statements of Trident Digital Tech Holdings Ltd (the “Company,” “we,” “our,” or “us”) for the six months ended June 30, 2026, furnished as Exhibit 99.1 to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Singapore-headquartered digital infrastructure holding company that builds and operates technology platforms in emerging markets. Our market entry strategy centers on digital identity infrastructure from which we expand into government technology, artificial intelligence (“AI”), cybersecurity, digital commerce, agritech and transaction-driven services. In 2025, we undertook a strategic transition from a business consulting and IT customization-led model to our proprietary Web 3.0 and blockchain-enabled platform, Tridentity, which is the identity layer for the platforms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derived a majority of our revenues from business consulting and IT customization services provided primarily to SMEs in Singapore. In 2025, we discontinued our business consulting services and significantly scaled back our IT customization operations to focus resources on our Web 3.0 activation and digital identity solutions and services. Tridentity, launched in December 2023, is a blockchain-based identity solution that provides secure single sign-on authentication to integrated third-party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reorganized as a multi-vertical holding company with five pillars: Tridentity Infrastructure Group (national digital identity infrastructure); TDTH Cybersecurity Group; TDTH AI &amp; Intelligent Systems Group; TDTH Africa (government technology, digital commerce and transaction infrastructure partnerships in African markets); and TDTH Agritech (technology-enabled agricultural infrastructure). Our active initiatives under the first four pillars are described below, while TDTH Agritech remains in its early planning and strategic development phase.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Tridentity Infrastructure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operate national digital identity infrastructure for countries in emerging markets including Africa. Built on Tridentity, the infrastructure issues citizens a digital credential for identity verification and access to government, financial, telecommunications, healthcare and education services. Deployment proceeds through phased national rollout and citizen enrollment, and we have initiated technical integration with telecommunications operators, financial institutions and public service portals. We are remunerated through a share of platform operating revenues, comprising e-KYC verification fees, institutional subscriptions and administrative transaction fees, with revenue-sharing terms to be determined under the relevant partnership agreements and implementing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TDTH Africa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established Trident Aliska Digital Tech Ghana Ltd (“Trident Aliska”), a 50/50 joint venture with Aliska Business Advisory and Research Limited (“Aliska”) and announced the definitive joint venture arrangements in April 2026. We are responsible for technology development, platform engineering and technical system management; while Aliska is responsible for project research, design, government approvals and permits, and project funding. In April 2026, Trident Aliska signed an agreement with the Ghana Revenue Authority (the “GRA”) to deploy a digital tax platform for micro, small and medium-sized enterprises (“MSMEs”), with nationwide deployment announced for June 2026. The platform, branded Sikaflow, combines digital commerce, business management, tax automation, financial record creation and financial services enablement in a single platform accessible through Android, iOS, web, POS terminals and USSD. Trident Aliska earns a contractual commission on taxes collected and remitted through the platform, a share of point-of-sale device leasing and transaction processing fees, and fees from adjacent services including business registration, annual renewals, insurance distribution and pension administration.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TDTH Cybersecurity Group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our Singapore subsidiary, Trident Digital Tech Pte. Ltd., entered into a reseller agreement with Memcyco Inc. (“Memcyco”), a U.S.-based provider of real-time digital impersonation, phishing and account-takeover prevention software, under which we distribute Memcyco’s products to enterprise and government customers in the Asia-Pacific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TDTH AI &amp; Intelligent Systems Group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entered into a binding letter of intent with Digital Innovations Group, Inc. (“DIG”), a U.S. company that owns the IRMA AI Engine, an enterprise AI platform for marketing automation, customer engagement, workflow automation, analytics and decision support. In June 2026, we launched TDTHAI, our enterprise AI initiative, in the Asia-Pacific region and Africa. On June 30, 2026, we entered into an agreement to make a strategic equity investment in DIG, as described under “</w:t>
      </w:r>
      <w:r>
        <w:rPr>
          <w:rFonts w:ascii="Times New Roman;Times;Serif" w:hAnsi="Times New Roman;Times;Serif"/>
          <w:b w:val="false"/>
          <w:i/>
          <w:caps w:val="false"/>
          <w:smallCaps w:val="false"/>
          <w:sz w:val="20"/>
        </w:rPr>
        <w:t>Recent Developments</w:t>
      </w:r>
      <w:r>
        <w:rPr>
          <w:rFonts w:ascii="Times New Roman;Times;Serif" w:hAnsi="Times New Roman;Times;Serif"/>
          <w:b w:val="false"/>
          <w:i w:val="false"/>
          <w:caps w:val="false"/>
          <w:smallCaps w:val="false"/>
          <w:sz w:val="20"/>
        </w:rPr>
        <w:t>” below. In August 2026, we executed a joint venture agreement with DIG to establish IRMA Asia Pte. Ltd. (“IRMA Asia”), a Singapore-based 50/50 joint venture to commercialize the IRMA Engine as IRMA Engine Asia across Asia, the Middle East and Africa. DIG licenses the IRMA technology and retains ownership of the underlying intellectual property. Our initial target markets are Singapore, Malaysia, Vietnam, the Middle East and Africa.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we entered into an exchange agreement with DIG to acquire 990,000 shares of DIG common shares, representing approximately 9.9% of DIG’s outstanding common shares, in exchange for Class B ordinary shares with a total value of US$2,000,000. The agreement provided for the closing of the transaction to occur on July 17, 2026, subject to the satisfaction of the conditions precedent set forth therein. The Class B ordinary shares are issuable in four quarterly tranches of US$500,000 each, with the number of shares in each tranche determined by reference to the five-day volume-weighted average price of our Class B ordinary shares on Nasdaq immediately preceding each applicable issuance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we entered into a share subscription agreement with Mr. Soon Huat Lim, our founder, Chairman and Chief Executive Officer, pursuant to which Mr. Lim agreed to convert approximately US$8.0 million of outstanding indebtedness owed by us to him into 901,408,450 restricted Class B ordinary shares (on a pre-Share Consolidation (</w:t>
      </w:r>
      <w:r>
        <w:rPr>
          <w:rFonts w:ascii="Times New Roman;Times;Serif" w:hAnsi="Times New Roman;Times;Serif"/>
          <w:b w:val="false"/>
          <w:i/>
          <w:caps w:val="false"/>
          <w:smallCaps w:val="false"/>
          <w:sz w:val="20"/>
        </w:rPr>
        <w:t>as defined below</w:t>
      </w:r>
      <w:r>
        <w:rPr>
          <w:rFonts w:ascii="Times New Roman;Times;Serif" w:hAnsi="Times New Roman;Times;Serif"/>
          <w:b w:val="false"/>
          <w:i w:val="false"/>
          <w:caps w:val="false"/>
          <w:smallCaps w:val="false"/>
          <w:sz w:val="20"/>
        </w:rPr>
        <w:t>) basis), at a conversion price of US$0.008875 per share, determined based on the closing price of our ADSs on June 18,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terminated its American depositary receipt program and effected a mandatory exchange of all outstanding ADSs for the underlying Class B ordinary shares. In connection with the termination, the Company effected a 240-for-1 share consolidation of its ordinary shares. Following the share consolidation, each ADS was automatically cancelled and exchanged for one Class B ordinary share, par value US$0.0024 per share. The Class B ordinary shares are now listed on the Nasdaq Capital Market under the symbol “TDTH.”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2026, we completed two equity financings, issuing an aggregate of 50,000,000 Class B ordinary shares for total gross proceeds of US$23.0 million, as described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growth and future success of our business depend on many factors. While these factors present significant opportunities for our business, they also pose important challenges we must successfully address to sustain our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our solutions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continue to expend resources in the development of offerings across our five strategic pillars described above.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Acquiring new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Sustaining continued revenue growth relies on the adoption of our solutions by new clients. We will continue to invest in our solutions and introduce new services and features. We plan to continue winning new clients by investing in our salesforce, improving the awareness of our brands and solutions, and building new partnerships and integrations.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Expanding into new verticals and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Continued investment in innovation and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at home and abroad and deepen our penetration with existing clients. We are in the process of increasing our general and administrative spending to support our growing operations and operate as a public company. With our revenue growth objectives, we expect to continue to make such investments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derive revenues principally from providing business consulting services and IT customization services. The services we provide are essentially similar in terms of the nature of such services, the type of customers served, the delivery methods and the nature of the regulatory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substantially scaled back these legacy operations. We discontinued our business consulting services, scaled back our IT customization operations to focus resources on our Web 3.0 activation and digital identity solutions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Tridentity has begun to generate revenue with notable period-over-period growth, its current revenue scale remains limited, as commercial deployment only commenced during the period. For the six months ended June 30, 2026 and 2025, we generated revenues of approximately US$0.38 million and US$0.04 million, respectively. Revenues from IT customization services and ticket sales accounted for 99.2% and 0.8% of our total revenues for the six months ended June 30, 2026, respectively, and for 60.4% and 39.6% of our total revenues for the six months ended June 30, 2025, respectively. We incurred a net loss of approximately US$12.73 million and US$11.27 million for the six months ended June 30, 2026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represents costs and expenses incurred to generate revenues. Our cost of revenues primarily consists of (i) fees paid to service suppliers, such as outsourcing service cost, (ii) direct labor costs, and (iii) miscellaneous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include general and administrative expenses, selling and marketing expenses and research and development expenses. General and administrative expenses mainly consist of (i) share-based compensation expenses, (ii) salary and social welfare expenses for the management team, (iii) professional service fees, (iv) rental cost for offices, and (v) depreciation expenses. Our selling and marketing expenses mainly consist of (i) salary and social welfare expenses for the marketing team, and (ii) advertising costs and market promotion expenses. Our research and development expenses mainly consist of (i) system development expenses for a digital identity system; (ii) salary and social welfare expenses to the development team and (iii) outsource service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mainly consists of (i) gain on fair value change, (ii) share of loss from equity method investment, (iii) government subsidies, and (iv) interest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statements of operations and comprehensive loss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June 30, 2026 Compared to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163" w:type="dxa"/>
        <w:jc w:val="left"/>
        <w:tblInd w:w="0" w:type="dxa"/>
        <w:tblLayout w:type="fixed"/>
        <w:tblCellMar>
          <w:top w:w="0" w:type="dxa"/>
          <w:left w:w="0" w:type="dxa"/>
          <w:bottom w:w="0" w:type="dxa"/>
          <w:right w:w="0" w:type="dxa"/>
        </w:tblCellMar>
      </w:tblPr>
      <w:tblGrid>
        <w:gridCol w:w="3500"/>
        <w:gridCol w:w="60"/>
        <w:gridCol w:w="140"/>
        <w:gridCol w:w="1175"/>
        <w:gridCol w:w="95"/>
        <w:gridCol w:w="60"/>
        <w:gridCol w:w="140"/>
        <w:gridCol w:w="1175"/>
        <w:gridCol w:w="95"/>
        <w:gridCol w:w="60"/>
        <w:gridCol w:w="223"/>
        <w:gridCol w:w="1686"/>
        <w:gridCol w:w="95"/>
        <w:gridCol w:w="60"/>
        <w:gridCol w:w="78"/>
        <w:gridCol w:w="1216"/>
        <w:gridCol w:w="30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Variances</w:t>
            </w:r>
          </w:p>
        </w:tc>
        <w:tc>
          <w:tcPr>
            <w:tcW w:w="30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 in 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change</w:t>
            </w:r>
          </w:p>
        </w:tc>
        <w:tc>
          <w:tcPr>
            <w:tcW w:w="30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384,471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36,612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347,859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950.12</w:t>
            </w:r>
          </w:p>
        </w:tc>
        <w:tc>
          <w:tcPr>
            <w:tcW w:w="30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(27,592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(8,623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45.46</w:t>
            </w:r>
          </w:p>
        </w:tc>
        <w:tc>
          <w:tcPr>
            <w:tcW w:w="305"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356,879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17,643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b/>
              </w:rPr>
            </w:pPr>
            <w:r>
              <w:rPr>
                <w:b/>
              </w:rPr>
              <w:t>339,236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1,922.78</w:t>
            </w:r>
          </w:p>
        </w:tc>
        <w:tc>
          <w:tcPr>
            <w:tcW w:w="30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both"/>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(215,655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(380,898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165,243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(43.38</w:t>
            </w:r>
          </w:p>
        </w:tc>
        <w:tc>
          <w:tcPr>
            <w:tcW w:w="305"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(11,450,168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(10,517,607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(932,561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8.87</w:t>
            </w:r>
          </w:p>
        </w:tc>
        <w:tc>
          <w:tcPr>
            <w:tcW w:w="30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(701,874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(447,369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(254,505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56.89</w:t>
            </w:r>
          </w:p>
        </w:tc>
        <w:tc>
          <w:tcPr>
            <w:tcW w:w="305"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both"/>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(12,367,697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(11,345,874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(1,021,823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9.01</w:t>
            </w:r>
          </w:p>
        </w:tc>
        <w:tc>
          <w:tcPr>
            <w:tcW w:w="30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both"/>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(12,010,818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(11,328,231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b/>
              </w:rPr>
            </w:pPr>
            <w:r>
              <w:rPr>
                <w:b/>
              </w:rPr>
              <w:t>(682,587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6.03</w:t>
            </w:r>
          </w:p>
        </w:tc>
        <w:tc>
          <w:tcPr>
            <w:tcW w:w="305"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both"/>
              <w:rPr/>
            </w:pPr>
            <w:r>
              <w:rPr/>
              <w:t>Total other (expenses)/income,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(801,749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56,683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(858,432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(1,514.44</w:t>
            </w:r>
          </w:p>
        </w:tc>
        <w:tc>
          <w:tcPr>
            <w:tcW w:w="30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both"/>
              <w:rPr>
                <w:b/>
              </w:rPr>
            </w:pPr>
            <w:r>
              <w:rPr>
                <w:b/>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(12,812,567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(11,271,548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b/>
              </w:rPr>
            </w:pPr>
            <w:r>
              <w:rPr>
                <w:b/>
              </w:rPr>
              <w:t>(1,541,019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13.67</w:t>
            </w:r>
          </w:p>
        </w:tc>
        <w:tc>
          <w:tcPr>
            <w:tcW w:w="305" w:type="dxa"/>
            <w:tcBorders/>
            <w:shd w:fill="FFFFFF" w:val="clear"/>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both"/>
              <w:rPr/>
            </w:pPr>
            <w:r>
              <w:rPr/>
              <w:t>Income tax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85,269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305" w:type="dxa"/>
            <w:tcBorders/>
            <w:shd w:fill="CCEEFF" w:val="clear"/>
            <w:vAlign w:val="center"/>
          </w:tcPr>
          <w:p>
            <w:pPr>
              <w:pStyle w:val="TableContents"/>
              <w:bidi w:val="0"/>
              <w:spacing w:before="0" w:after="283"/>
              <w:jc w:val="left"/>
              <w:rPr/>
            </w:pPr>
            <w:r>
              <w:rPr/>
              <w:t>%</w:t>
            </w:r>
          </w:p>
        </w:tc>
      </w:tr>
      <w:tr>
        <w:trPr/>
        <w:tc>
          <w:tcPr>
            <w:tcW w:w="3500"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(12,727,298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(11,271,548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FFFFFF" w:val="clear"/>
            <w:tcMar>
              <w:bottom w:w="28" w:type="dxa"/>
            </w:tcMar>
            <w:vAlign w:val="center"/>
          </w:tcPr>
          <w:p>
            <w:pPr>
              <w:pStyle w:val="TableContents"/>
              <w:bidi w:val="0"/>
              <w:spacing w:before="0" w:after="283"/>
              <w:jc w:val="right"/>
              <w:rPr/>
            </w:pPr>
            <w:r>
              <w:rPr/>
              <w:t>(1,455,750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12.92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revenues by revenue streams for the six months ended June 30, 2026 and 2025 is summarized below:</w:t>
      </w:r>
    </w:p>
    <w:p>
      <w:pPr>
        <w:pStyle w:val="TextBody"/>
        <w:bidi w:val="0"/>
        <w:spacing w:before="0" w:after="0"/>
        <w:ind w:left="0" w:right="0" w:firstLine="360"/>
        <w:jc w:val="both"/>
        <w:rPr>
          <w:caps w:val="false"/>
          <w:smallCaps w:val="false"/>
        </w:rPr>
      </w:pPr>
      <w:r>
        <w:rPr>
          <w:caps w:val="false"/>
          <w:smallCaps w:val="false"/>
        </w:rPr>
        <w:t> </w:t>
      </w:r>
    </w:p>
    <w:tbl>
      <w:tblPr>
        <w:tblW w:w="7168" w:type="dxa"/>
        <w:jc w:val="left"/>
        <w:tblInd w:w="0" w:type="dxa"/>
        <w:tblLayout w:type="fixed"/>
        <w:tblCellMar>
          <w:top w:w="0" w:type="dxa"/>
          <w:left w:w="0" w:type="dxa"/>
          <w:bottom w:w="0" w:type="dxa"/>
          <w:right w:w="0" w:type="dxa"/>
        </w:tblCellMar>
      </w:tblPr>
      <w:tblGrid>
        <w:gridCol w:w="2465"/>
        <w:gridCol w:w="60"/>
        <w:gridCol w:w="201"/>
        <w:gridCol w:w="1148"/>
        <w:gridCol w:w="86"/>
        <w:gridCol w:w="86"/>
        <w:gridCol w:w="86"/>
        <w:gridCol w:w="976"/>
        <w:gridCol w:w="60"/>
        <w:gridCol w:w="60"/>
        <w:gridCol w:w="60"/>
        <w:gridCol w:w="800"/>
        <w:gridCol w:w="95"/>
        <w:gridCol w:w="60"/>
        <w:gridCol w:w="60"/>
        <w:gridCol w:w="560"/>
        <w:gridCol w:w="305"/>
      </w:tblGrid>
      <w:tr>
        <w:trPr/>
        <w:tc>
          <w:tcPr>
            <w:tcW w:w="2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Variances</w:t>
            </w:r>
          </w:p>
        </w:tc>
        <w:tc>
          <w:tcPr>
            <w:tcW w:w="30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9" w:type="dxa"/>
            <w:gridSpan w:val="2"/>
            <w:tcBorders/>
            <w:vAlign w:val="center"/>
          </w:tcPr>
          <w:p>
            <w:pPr>
              <w:pStyle w:val="TableContents"/>
              <w:bidi w:val="0"/>
              <w:spacing w:before="0" w:after="283"/>
              <w:jc w:val="both"/>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b/>
              </w:rPr>
            </w:pPr>
            <w:r>
              <w:rPr>
                <w:b/>
              </w:rPr>
              <w:t>IT customization</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b/>
              </w:rPr>
            </w:pPr>
            <w:r>
              <w:rPr>
                <w:b/>
              </w:rPr>
              <w:t>$</w:t>
            </w:r>
          </w:p>
        </w:tc>
        <w:tc>
          <w:tcPr>
            <w:tcW w:w="1148" w:type="dxa"/>
            <w:tcBorders/>
            <w:shd w:fill="CCEEFF" w:val="clear"/>
            <w:vAlign w:val="center"/>
          </w:tcPr>
          <w:p>
            <w:pPr>
              <w:pStyle w:val="TableContents"/>
              <w:bidi w:val="0"/>
              <w:spacing w:before="0" w:after="283"/>
              <w:jc w:val="right"/>
              <w:rPr>
                <w:b/>
              </w:rPr>
            </w:pPr>
            <w:r>
              <w:rPr>
                <w:b/>
              </w:rPr>
              <w:t>381,339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b/>
              </w:rPr>
            </w:pPr>
            <w:r>
              <w:rPr>
                <w:b/>
              </w:rPr>
              <w:t>22,106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359,233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1,625</w:t>
            </w:r>
          </w:p>
        </w:tc>
        <w:tc>
          <w:tcPr>
            <w:tcW w:w="305" w:type="dxa"/>
            <w:tcBorders/>
            <w:shd w:fill="CCEEFF" w:val="clear"/>
            <w:vAlign w:val="center"/>
          </w:tcPr>
          <w:p>
            <w:pPr>
              <w:pStyle w:val="TableContents"/>
              <w:bidi w:val="0"/>
              <w:spacing w:before="0" w:after="283"/>
              <w:jc w:val="left"/>
              <w:rPr/>
            </w:pPr>
            <w:r>
              <w:rPr/>
              <w:t>%</w:t>
            </w:r>
          </w:p>
        </w:tc>
      </w:tr>
      <w:tr>
        <w:trPr/>
        <w:tc>
          <w:tcPr>
            <w:tcW w:w="2465" w:type="dxa"/>
            <w:tcBorders/>
            <w:shd w:fill="FFFFFF" w:val="clear"/>
            <w:vAlign w:val="center"/>
          </w:tcPr>
          <w:p>
            <w:pPr>
              <w:pStyle w:val="TableContents"/>
              <w:bidi w:val="0"/>
              <w:spacing w:before="0" w:after="283"/>
              <w:jc w:val="both"/>
              <w:rPr/>
            </w:pPr>
            <w:r>
              <w:rPr/>
              <w:t>(i) IT consulting</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374,564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17,096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357,468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2,091</w:t>
            </w:r>
          </w:p>
        </w:tc>
        <w:tc>
          <w:tcPr>
            <w:tcW w:w="305" w:type="dxa"/>
            <w:tcBorders/>
            <w:shd w:fill="FFFFFF" w:val="clear"/>
            <w:vAlign w:val="center"/>
          </w:tcPr>
          <w:p>
            <w:pPr>
              <w:pStyle w:val="TableContents"/>
              <w:bidi w:val="0"/>
              <w:spacing w:before="0" w:after="283"/>
              <w:jc w:val="left"/>
              <w:rPr/>
            </w:pPr>
            <w:r>
              <w:rPr/>
              <w:t>%</w:t>
            </w:r>
          </w:p>
        </w:tc>
      </w:tr>
      <w:tr>
        <w:trPr/>
        <w:tc>
          <w:tcPr>
            <w:tcW w:w="2465" w:type="dxa"/>
            <w:tcBorders/>
            <w:shd w:fill="CCEEFF" w:val="clear"/>
            <w:vAlign w:val="center"/>
          </w:tcPr>
          <w:p>
            <w:pPr>
              <w:pStyle w:val="TableContents"/>
              <w:bidi w:val="0"/>
              <w:spacing w:before="0" w:after="283"/>
              <w:jc w:val="both"/>
              <w:rPr/>
            </w:pPr>
            <w:r>
              <w:rPr/>
              <w:t>(ii) Management software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6,775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w:t>
            </w:r>
          </w:p>
        </w:tc>
        <w:tc>
          <w:tcPr>
            <w:tcW w:w="305" w:type="dxa"/>
            <w:tcBorders/>
            <w:shd w:fill="CCEEFF" w:val="clear"/>
            <w:vAlign w:val="center"/>
          </w:tcPr>
          <w:p>
            <w:pPr>
              <w:pStyle w:val="TableContents"/>
              <w:bidi w:val="0"/>
              <w:spacing w:before="0" w:after="283"/>
              <w:jc w:val="left"/>
              <w:rPr/>
            </w:pPr>
            <w:r>
              <w:rPr/>
              <w:t>%</w:t>
            </w:r>
          </w:p>
        </w:tc>
      </w:tr>
      <w:tr>
        <w:trPr/>
        <w:tc>
          <w:tcPr>
            <w:tcW w:w="2465" w:type="dxa"/>
            <w:tcBorders/>
            <w:shd w:fill="FFFFFF" w:val="clear"/>
            <w:vAlign w:val="center"/>
          </w:tcPr>
          <w:p>
            <w:pPr>
              <w:pStyle w:val="TableContents"/>
              <w:bidi w:val="0"/>
              <w:spacing w:before="0" w:after="283"/>
              <w:jc w:val="both"/>
              <w:rPr>
                <w:b/>
              </w:rPr>
            </w:pPr>
            <w:r>
              <w:rPr>
                <w:b/>
              </w:rPr>
              <w:t>Others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3,132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(11,374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(78</w:t>
            </w:r>
          </w:p>
        </w:tc>
        <w:tc>
          <w:tcPr>
            <w:tcW w:w="305" w:type="dxa"/>
            <w:tcBorders/>
            <w:shd w:fill="FFFFFF" w:val="clear"/>
            <w:vAlign w:val="center"/>
          </w:tcPr>
          <w:p>
            <w:pPr>
              <w:pStyle w:val="TableContents"/>
              <w:bidi w:val="0"/>
              <w:spacing w:before="0" w:after="283"/>
              <w:jc w:val="left"/>
              <w:rPr/>
            </w:pPr>
            <w:r>
              <w:rPr/>
              <w:t>)%</w:t>
            </w:r>
          </w:p>
        </w:tc>
      </w:tr>
      <w:tr>
        <w:trPr/>
        <w:tc>
          <w:tcPr>
            <w:tcW w:w="2465" w:type="dxa"/>
            <w:tcBorders/>
            <w:shd w:fill="CCEEFF" w:val="clear"/>
            <w:vAlign w:val="center"/>
          </w:tcPr>
          <w:p>
            <w:pPr>
              <w:pStyle w:val="TableContents"/>
              <w:bidi w:val="0"/>
              <w:spacing w:before="0" w:after="283"/>
              <w:jc w:val="both"/>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384,471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347,859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950</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increased by 950% from US$0.04 million for the six months ended June 30, 2025, to US$0.38 million for the six months ended June 30, 2026. The increase in revenue was primarily attributable to higher IT customization revenue driven by the addition of a new digitalization service. The service involves providing digitalization support for the planning and development of a mobile and/or web-based application. IT customization revenue increased from US$0.02 million for the six months ended June 30, 2025 to US$0.38 million for the six months ended June 30, 2026. At the same time, we continued to allocate more resources to the Tridentity platform, digital identity system and MSME digital formalization platform, which our management views as the core growth areas for its long-term strategy in the future. This realignment allows us to concentrate on expanding our presence in Tridentity, positioning us to capture new opportunities in a rapidly advancing digital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cost of revenues for the six months ended June 30, 2026 and 2025 is summarized below:</w:t>
      </w:r>
    </w:p>
    <w:p>
      <w:pPr>
        <w:pStyle w:val="TextBody"/>
        <w:bidi w:val="0"/>
        <w:spacing w:before="0" w:after="0"/>
        <w:ind w:left="0" w:right="0" w:firstLine="360"/>
        <w:jc w:val="both"/>
        <w:rPr>
          <w:caps w:val="false"/>
          <w:smallCaps w:val="false"/>
        </w:rPr>
      </w:pPr>
      <w:r>
        <w:rPr>
          <w:caps w:val="false"/>
          <w:smallCaps w:val="false"/>
        </w:rPr>
        <w:t> </w:t>
      </w:r>
    </w:p>
    <w:tbl>
      <w:tblPr>
        <w:tblW w:w="6832" w:type="dxa"/>
        <w:jc w:val="left"/>
        <w:tblInd w:w="0" w:type="dxa"/>
        <w:tblLayout w:type="fixed"/>
        <w:tblCellMar>
          <w:top w:w="0" w:type="dxa"/>
          <w:left w:w="0" w:type="dxa"/>
          <w:bottom w:w="0" w:type="dxa"/>
          <w:right w:w="0" w:type="dxa"/>
        </w:tblCellMar>
      </w:tblPr>
      <w:tblGrid>
        <w:gridCol w:w="2240"/>
        <w:gridCol w:w="60"/>
        <w:gridCol w:w="205"/>
        <w:gridCol w:w="998"/>
        <w:gridCol w:w="88"/>
        <w:gridCol w:w="88"/>
        <w:gridCol w:w="205"/>
        <w:gridCol w:w="998"/>
        <w:gridCol w:w="60"/>
        <w:gridCol w:w="60"/>
        <w:gridCol w:w="172"/>
        <w:gridCol w:w="688"/>
        <w:gridCol w:w="60"/>
        <w:gridCol w:w="60"/>
        <w:gridCol w:w="60"/>
        <w:gridCol w:w="560"/>
        <w:gridCol w:w="230"/>
      </w:tblGrid>
      <w:tr>
        <w:trPr/>
        <w:tc>
          <w:tcPr>
            <w:tcW w:w="2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Variances</w:t>
            </w:r>
          </w:p>
        </w:tc>
        <w:tc>
          <w:tcPr>
            <w:tcW w:w="23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both"/>
              <w:rPr/>
            </w:pPr>
            <w:r>
              <w:rPr/>
              <w:t> </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both"/>
              <w:rPr/>
            </w:pPr>
            <w:r>
              <w:rPr/>
              <w:t>Direct labor costs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20,899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14,246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6,653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46.70</w:t>
            </w:r>
          </w:p>
        </w:tc>
        <w:tc>
          <w:tcPr>
            <w:tcW w:w="230" w:type="dxa"/>
            <w:tcBorders/>
            <w:shd w:fill="CCEEFF" w:val="clear"/>
            <w:vAlign w:val="center"/>
          </w:tcPr>
          <w:p>
            <w:pPr>
              <w:pStyle w:val="TableContents"/>
              <w:bidi w:val="0"/>
              <w:spacing w:before="0" w:after="283"/>
              <w:jc w:val="left"/>
              <w:rPr/>
            </w:pPr>
            <w:r>
              <w:rPr/>
              <w:t>%</w:t>
            </w:r>
          </w:p>
        </w:tc>
      </w:tr>
      <w:tr>
        <w:trPr/>
        <w:tc>
          <w:tcPr>
            <w:tcW w:w="2240" w:type="dxa"/>
            <w:tcBorders/>
            <w:shd w:fill="FFFFFF" w:val="clear"/>
            <w:vAlign w:val="center"/>
          </w:tcPr>
          <w:p>
            <w:pPr>
              <w:pStyle w:val="TableContents"/>
              <w:bidi w:val="0"/>
              <w:spacing w:before="0" w:after="283"/>
              <w:jc w:val="both"/>
              <w:rPr/>
            </w:pPr>
            <w:r>
              <w:rPr/>
              <w:t>Service fees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6,388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4,723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688" w:type="dxa"/>
            <w:tcBorders/>
            <w:shd w:fill="FFFFFF" w:val="clear"/>
            <w:vAlign w:val="center"/>
          </w:tcPr>
          <w:p>
            <w:pPr>
              <w:pStyle w:val="TableContents"/>
              <w:bidi w:val="0"/>
              <w:spacing w:before="0" w:after="283"/>
              <w:jc w:val="right"/>
              <w:rPr/>
            </w:pPr>
            <w:r>
              <w:rPr/>
              <w:t>1,665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35.25</w:t>
            </w:r>
          </w:p>
        </w:tc>
        <w:tc>
          <w:tcPr>
            <w:tcW w:w="230" w:type="dxa"/>
            <w:tcBorders/>
            <w:shd w:fill="FFFFFF" w:val="clear"/>
            <w:vAlign w:val="center"/>
          </w:tcPr>
          <w:p>
            <w:pPr>
              <w:pStyle w:val="TableContents"/>
              <w:bidi w:val="0"/>
              <w:spacing w:before="0" w:after="283"/>
              <w:jc w:val="left"/>
              <w:rPr/>
            </w:pPr>
            <w:r>
              <w:rPr/>
              <w:t>%</w:t>
            </w:r>
          </w:p>
        </w:tc>
      </w:tr>
      <w:tr>
        <w:trPr/>
        <w:tc>
          <w:tcPr>
            <w:tcW w:w="2240" w:type="dxa"/>
            <w:tcBorders/>
            <w:shd w:fill="CCEEFF" w:val="clear"/>
            <w:vAlign w:val="center"/>
          </w:tcPr>
          <w:p>
            <w:pPr>
              <w:pStyle w:val="TableContents"/>
              <w:bidi w:val="0"/>
              <w:spacing w:before="0" w:after="283"/>
              <w:jc w:val="both"/>
              <w:rPr/>
            </w:pPr>
            <w:r>
              <w:rPr/>
              <w:t>Miscellaneous cost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305</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both"/>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27,592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9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45.46</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by 45.5% from US$18,969 for the six months ended June 30, 2025 to US$27,592 for the six months ended June 30, 2026, primarily due to an increase in direct labor costs from US$14,246 for the six months ended June 30, 2025 to US$20,899 for the six months ended June 30, 2026 as a result of the increase in IT consulting projects, and the increase in service fee costs of US$1,665 in line with the increase in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margin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described above, we recorded a gross profit of US$0.36 million and US$0.02 million for the six months ended June 30, 2026 and 2025, representing gross profit margin of 92.8% and 48.2%, respectively. The increase in gross profit margin was primarily due to the addition of a new digitalization service. Revenue from this service increased significantly in the first half of 2026, while the related cost of revenues increased only modestly, as the underlying research and development was completed in prior periods and the service is primarily delivered using the completed platform with limited incremental labor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marketing expenses decreased from US$0.38 million for the six months ended June 30, 2025 to US$0.22 million for the six months ended June 30, 2026. The decrease was primarily due to lower spending on marketing and advertising driven by cost reduction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from US$10.52 million for the six months ended June 30, 2025 to US$11.45 million for the six months ended June 30, 2026. The increase was primarily due to (i) a US$0.53 million increase in share-based compensation expenses, and (ii) a US$0.40 million increase in professional service fees related to corporate positioning and development consulting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increased from US$0.45 million for the six months ended June 30, 2025 to US$0.70 million for the six months ended June 30, 2026, primarily due to an increase in wages and salaries for Sikaflow research and development in Ghana.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(expenses)/income, net mainly consists of (i) gains on fair value change of long-term investment and derivative liability, (ii) interest expenses, (iii) share of loss from equity method investment, and (iv) government subsidies. Our other (expenses)/income, net changed from income of US$0.06 million for the six months ended June 30, 2025 to loss of US$0.80 million for the six months ended June 30, 2026, primarily due to (i) US$2.03 million increase in interest expenses primarily resulting from convertible note, borrowings from bank and other financial institution, (ii) US$0.32 million increase in share of loss from equity method investment, partially offset by US$1.51 million gain from fair value change of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loss of US$12.73 million in the first half of 2026 and US$11.27 million in the first half of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(DRC) Africa Sas (“Trident DRC”) is incorporated in the Democratic Republic of Congo and is subject to a statutory corporate income tax rate of 30% on its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unaudited condensed consolidated financial statements, which are prepared and presented in accordance with U.S. GAAP, we use the following non-GAAP financial measure to understand and evaluate our core operating performance: adjusted EBITDA, which is calculated as net loss excluding interest expense, net, income tax (benefit) expense, depreciation and amortization expenses, share-based compensation expense, share of loss from equity method investment and gains on fair value change. The non-GAAP financial measure is presented to enhance investors’ overall understanding of our financial performance and should not be considered a substitute for, or superior to, the financial information prepared and presented in accordance with U.S. GAAP. Investors are encouraged to review the reconciliation of the historical non-GAAP financial measure to the most directly comparable GAAP financial measure. As non-GAAP financial measure has material limitations as an analytical metric and may not be calculated in the same manner by all companies, it may not be comparable to other similarly titled measures used by other companies. In light of the foregoing limitations, you should not consider non-GAAP financial measure as a substitute for, or superior to, such metrics prepared in accordance with GAAP. We encourage investors and others to review our financial information in its entirety and not rely on any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7325" w:type="dxa"/>
        <w:jc w:val="left"/>
        <w:tblInd w:w="0" w:type="dxa"/>
        <w:tblLayout w:type="fixed"/>
        <w:tblCellMar>
          <w:top w:w="0" w:type="dxa"/>
          <w:left w:w="0" w:type="dxa"/>
          <w:bottom w:w="0" w:type="dxa"/>
          <w:right w:w="0" w:type="dxa"/>
        </w:tblCellMar>
      </w:tblPr>
      <w:tblGrid>
        <w:gridCol w:w="4250"/>
        <w:gridCol w:w="60"/>
        <w:gridCol w:w="140"/>
        <w:gridCol w:w="1235"/>
        <w:gridCol w:w="95"/>
        <w:gridCol w:w="60"/>
        <w:gridCol w:w="140"/>
        <w:gridCol w:w="1235"/>
        <w:gridCol w:w="110"/>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35" w:type="dxa"/>
            <w:tcBorders/>
            <w:shd w:fill="CCEEFF" w:val="clear"/>
            <w:vAlign w:val="center"/>
          </w:tcPr>
          <w:p>
            <w:pPr>
              <w:pStyle w:val="TableContents"/>
              <w:bidi w:val="0"/>
              <w:spacing w:before="0" w:after="283"/>
              <w:jc w:val="right"/>
              <w:rPr/>
            </w:pPr>
            <w:r>
              <w:rPr/>
              <w:t> </w:t>
            </w:r>
            <w:r>
              <w:rPr>
                <w:b/>
              </w:rPr>
              <w:t>(12,727,298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35" w:type="dxa"/>
            <w:tcBorders/>
            <w:shd w:fill="CCEEFF" w:val="clear"/>
            <w:vAlign w:val="center"/>
          </w:tcPr>
          <w:p>
            <w:pPr>
              <w:pStyle w:val="TableContents"/>
              <w:bidi w:val="0"/>
              <w:spacing w:before="0" w:after="283"/>
              <w:jc w:val="right"/>
              <w:rPr/>
            </w:pPr>
            <w:r>
              <w:rPr/>
              <w:t> </w:t>
            </w:r>
            <w:r>
              <w:rPr>
                <w:b/>
              </w:rPr>
              <w:t>(11,271,548</w:t>
            </w:r>
          </w:p>
        </w:tc>
        <w:tc>
          <w:tcPr>
            <w:tcW w:w="110" w:type="dxa"/>
            <w:tcBorders/>
            <w:shd w:fill="CCEEFF" w:val="clear"/>
            <w:vAlign w:val="center"/>
          </w:tcPr>
          <w:p>
            <w:pPr>
              <w:pStyle w:val="TableContents"/>
              <w:bidi w:val="0"/>
              <w:spacing w:before="0" w:after="283"/>
              <w:jc w:val="left"/>
              <w:rPr>
                <w:b/>
              </w:rPr>
            </w:pPr>
            <w:r>
              <w:rPr>
                <w:b/>
              </w:rPr>
              <w:t>)</w:t>
            </w:r>
          </w:p>
        </w:tc>
      </w:tr>
      <w:tr>
        <w:trPr/>
        <w:tc>
          <w:tcPr>
            <w:tcW w:w="4250" w:type="dxa"/>
            <w:tcBorders/>
            <w:shd w:fill="FFFFFF" w:val="clear"/>
            <w:vAlign w:val="center"/>
          </w:tcPr>
          <w:p>
            <w:pPr>
              <w:pStyle w:val="TableContents"/>
              <w:bidi w:val="0"/>
              <w:spacing w:before="0" w:after="283"/>
              <w:jc w:val="both"/>
              <w:rPr>
                <w:b/>
              </w:rPr>
            </w:pPr>
            <w:r>
              <w:rPr>
                <w:b/>
              </w:rPr>
              <w:t>Add: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Financial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2,036,740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5,442</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(85,269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38,761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30,412</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7,384,559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6,856,485</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Gains on fair value 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(1,512,221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Share of loss from equity method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319,017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b/>
              </w:rPr>
            </w:pPr>
            <w:r>
              <w:rPr>
                <w:b/>
              </w:rPr>
              <w:t>(4,545,711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b/>
              </w:rPr>
            </w:pPr>
            <w:r>
              <w:rPr>
                <w:b/>
              </w:rPr>
              <w:t>(4,379,209</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283"/>
              <w:jc w:val="both"/>
              <w:rPr/>
            </w:pPr>
            <w:r>
              <w:rPr/>
              <w:t>Depreciation and amortization expenses primarily consist of depreciation related to property and equipment, as well as amortization related to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have been cash flows from our operating activities, capital contributions from shareholders and loans from banks. As of June 30, 2026 and December 31, 2025, we had cash of US$0.08 million and US$0.15 million, and total working capital deficit of US$5.98 million and US$4.77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net loss of US$12.73 million in the first half of 2026 and US$11.27 million in the first half of 2025, respectively. Net cash used in operating activities were US$4.88 million and US$3.65 million for the six months ended June 30, 2026 and 2025, respectively. Accumulated deficits were US$49.79 million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is based on our ability to generate cash from operating activities, obtain capital financing from equity interest investors and borrow funds from financial institutions. Our future capital requirements depend on many factors including our growth rate, the continuing market acceptance of our offerings, the timing and extent of spending to support our efforts to develop our platform, the expansion of sales and marketing activities, and the expansion and penetration of our business into different geographies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would result in further dilution to our shareholders. The incurrence of indebtedness would result in increased fixed obligations and could result in operating covenants that would restrict our operations. There can be no assurances, however, that the current operating plan will be achieved or that additional funding will be available on terms acceptable to us, or at all. If we are unable to obtain sufficient funding, we could be required to delay our development efforts and limit activities, which could adversely affect our business and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we completed a registered direct offering on September 29, 2026, issuing 30,000,000 Class B ordinary shares at US$0.50 per share and raising gross proceeds of US$15.0 million. In addition, on September 8, 2026, we completed a private placement to certain non-U.S. investors, issuing 20,000,000 Class B ordinary shares at US$0.40 per share and raising gross proceeds of US$8.0 million. Together, these financings raised approximately US$23.0 million in September 2026, compared to cash of only US$0.08 million as of June 30, 2026, and significantly improved our liquidity position and its ability to continue as a going concern. See Note 3 to the unaudited interim condensed consolidated financial statements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to the unaudited interim condensed consolidated financial statements discloses all of the matters of which we are aware that are relevant to our ability to continue as a going concern for a reasonable period of time (defined as the time within one year after the date that the financial statements are issued, or available to be issued, where applicable), including significant conditions and events, and management’s plans to mitigate the adverse effects of such conditions and events. There is no approved plan for liquidation and liquidation is not being forced by any other party. As such, we believe that the going concern basis of accounting is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June 30, 2026 Compared to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6642" w:type="dxa"/>
        <w:jc w:val="left"/>
        <w:tblInd w:w="0" w:type="dxa"/>
        <w:tblLayout w:type="fixed"/>
        <w:tblCellMar>
          <w:top w:w="0" w:type="dxa"/>
          <w:left w:w="0" w:type="dxa"/>
          <w:bottom w:w="0" w:type="dxa"/>
          <w:right w:w="0" w:type="dxa"/>
        </w:tblCellMar>
      </w:tblPr>
      <w:tblGrid>
        <w:gridCol w:w="3890"/>
        <w:gridCol w:w="60"/>
        <w:gridCol w:w="142"/>
        <w:gridCol w:w="1071"/>
        <w:gridCol w:w="96"/>
        <w:gridCol w:w="60"/>
        <w:gridCol w:w="142"/>
        <w:gridCol w:w="1071"/>
        <w:gridCol w:w="110"/>
      </w:tblGrid>
      <w:tr>
        <w:trPr/>
        <w:tc>
          <w:tcPr>
            <w:tcW w:w="3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(4,883,016</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(3,649,470</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(1,710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(7,925</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4,709,722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4,196,808</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both"/>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105,887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(548,908</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both"/>
              <w:rPr>
                <w:b/>
              </w:rPr>
            </w:pPr>
            <w:r>
              <w:rPr>
                <w:b/>
              </w:rPr>
              <w:t>Net change in cash</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b/>
              </w:rPr>
            </w:pPr>
            <w:r>
              <w:rPr>
                <w:b/>
              </w:rPr>
              <w:t>(69,117</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b/>
              </w:rPr>
            </w:pPr>
            <w:r>
              <w:rPr>
                <w:b/>
              </w:rPr>
              <w:t>(9,495</w:t>
            </w:r>
          </w:p>
        </w:tc>
        <w:tc>
          <w:tcPr>
            <w:tcW w:w="110" w:type="dxa"/>
            <w:tcBorders/>
            <w:shd w:fill="CCEEFF" w:val="clear"/>
            <w:vAlign w:val="center"/>
          </w:tcPr>
          <w:p>
            <w:pPr>
              <w:pStyle w:val="TableContents"/>
              <w:bidi w:val="0"/>
              <w:spacing w:before="0" w:after="283"/>
              <w:jc w:val="left"/>
              <w:rPr>
                <w:b/>
              </w:rPr>
            </w:pPr>
            <w:r>
              <w:rPr>
                <w:b/>
              </w:rPr>
              <w:t>)</w:t>
            </w:r>
          </w:p>
        </w:tc>
      </w:tr>
      <w:tr>
        <w:trPr/>
        <w:tc>
          <w:tcPr>
            <w:tcW w:w="3890" w:type="dxa"/>
            <w:tcBorders/>
            <w:shd w:fill="FFFFFF" w:val="clear"/>
            <w:vAlign w:val="center"/>
          </w:tcPr>
          <w:p>
            <w:pPr>
              <w:pStyle w:val="TableContents"/>
              <w:bidi w:val="0"/>
              <w:spacing w:before="0" w:after="283"/>
              <w:jc w:val="both"/>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150,334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194,113</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both"/>
              <w:rPr>
                <w:b/>
              </w:rPr>
            </w:pPr>
            <w:r>
              <w:rPr>
                <w:b/>
              </w:rPr>
              <w:t>Cash, at end of period</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7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81,217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7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184,618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was US$4.88 million, primarily attributable to (i) our net loss of US$12.73 million, as adjusted by the reconciliation of net loss to net cash used in operating activities, which primarily comprised share-based compensation of US$7.38 million, interest accrual and amortization of discount for convertible note of US$1.86 million, share of loss from equity method investment of US$0.32 million, depreciation of right-of-use assets of US$0.25 million, depreciation and amortization of US$0.04 million, gains on fair value change of long-term investment and derivative liability of US$1.51 million and deferred tax benefits of US$0.09 million; and (ii) changes in operating assets and liabilities, which were primarily the result of (a) a decrease in operating lease liabilities of US$0.27 million, (b) an increase in amounts due from a related party of US$0.92 million due to the increase in payment made on behalf of a related party, and partially offset by: (c) an increase in accrued expenses and other current liabilities of US$0.66 million primarily due to the increase in unpaid wages and interest payable; and (d) an increase in accounts payable of US$0.17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US$3.65 million, primarily attributable to (i) our net loss of US$11.27 million, as adjusted by the reconciliation of net loss to net cash used in operating activities, which primarily comprised non-employee share-based compensation of US$6.86 million, depreciation of right-of-use assets of US$0.19 million, allowance for expected credit loss of US$0.01 million and depreciation and amortization of US$0.02 million; and (ii) changes in operating assets and liabilities, which were primarily the result of (a) a decrease in operating lease liabilities of US$0.19 million, and partially offset by: (b) an increase in amounts due to related parties of US$0.29 million from the maintenance service provided by the related parties, (c) a decrease in other non-current assets of US$0.24 million, primarily due to the utilization of prepaid professional services, (d) an increase in deferred revenue of US$0.13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2026 was US$1,710, which was primarily attributable to the purchase of property and equipment in the amount of US$1,710, mainly expenditure on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2025 was US$7,925, which was primarily attributable to the purchase of property and equipment in the amount of US$7,925, mainly expenditure on computer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was US$4.71 million, which primarily comprised of (i) loans from related parties of US$6.58 million, (ii) proceeds from short-term bank loans of US$0.68 million, partially offset by (i) repayment of loans from related parties of US$2.52 million and (ii) repayments of long-term bank loans of US$0.03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2025 was US$4.20 million, which primarily comprised of loans from related parties of US$4.24 million, partially offset by (i) repayments of long-term bank loans of US$0.03 million and (ii) repayment of loans from related parties of US$0.01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 is primarily incurred for purposes of purchasing office and electric equipment and investments in office renovation. Our capital expenditure was US$1,710 and US$7,925 for the six months ended June 30, 2026 and 2025, respectively. We will continue to make well-planned capital expenditures to meet the expected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future minimum lease payments under the non-cancellable operating lease with respect to the office and the warehouse as of June 30, 2026, are payable as follows:</w:t>
      </w:r>
    </w:p>
    <w:p>
      <w:pPr>
        <w:pStyle w:val="TextBody"/>
        <w:bidi w:val="0"/>
        <w:spacing w:before="0" w:after="0"/>
        <w:ind w:left="0" w:right="0" w:firstLine="36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170"/>
        <w:gridCol w:w="60"/>
        <w:gridCol w:w="150"/>
        <w:gridCol w:w="860"/>
        <w:gridCol w:w="75"/>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w:t>
              <w:br/>
              <w:t>Payments</w:t>
            </w:r>
          </w:p>
        </w:tc>
        <w:tc>
          <w:tcPr>
            <w:tcW w:w="75"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For the remaining period of 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272,474</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394,643</w:t>
            </w:r>
          </w:p>
        </w:tc>
        <w:tc>
          <w:tcPr>
            <w:tcW w:w="75"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70,000</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b/>
              </w:rPr>
            </w:pPr>
            <w:r>
              <w:rPr>
                <w:b/>
              </w:rPr>
              <w:t>Total lease payments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737,117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our business does not appear to be affected by seasonal variations.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report. When reviewing our financial statements, you should consider:</w:t>
      </w:r>
    </w:p>
    <w:p>
      <w:pPr>
        <w:pStyle w:val="TextBody"/>
        <w:bidi w:val="0"/>
        <w:spacing w:before="0" w:after="0"/>
        <w:ind w:left="0" w:right="0" w:firstLine="36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24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selection of critical accounting policies;</w:t>
            </w:r>
          </w:p>
        </w:tc>
      </w:tr>
    </w:tbl>
    <w:p>
      <w:pPr>
        <w:pStyle w:val="TextBody"/>
        <w:bidi w:val="0"/>
        <w:spacing w:before="0" w:after="0"/>
        <w:ind w:left="0" w:right="0" w:hanging="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245"/>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judgments and other uncertainties affecting the application of such policies;</w:t>
            </w:r>
          </w:p>
        </w:tc>
      </w:tr>
    </w:tbl>
    <w:p>
      <w:pPr>
        <w:pStyle w:val="TextBody"/>
        <w:bidi w:val="0"/>
        <w:spacing w:before="0" w:after="0"/>
        <w:ind w:left="0" w:right="0" w:firstLine="36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sensitivity of reported results to changes in conditions and assumptions;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and practices include the following: (i) credit losses; (ii) revenue recognition; and (iii) income taxes. See Note 2 — Summary of Significant Accounting Policies to our unaudited interim condensed consolidated financial statements for the disclosure of these accounting policies. We believe the following accounting estimates involve the most significant judgments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valuation allowance of deferred tax assets, fair value of long-term investment and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certain financial instruments at fair value on a recurring basis. For long-term investment accounted for using fair value option and derivative liability, we estimate their fair value on each reporting date. We estimate the financial instruments’ fair value in accordance with the principles of ASC 820 and recognize the fair value change in the consolidated statements of comprehensive loss accordingly. These judgments include valuation methods and key valuation assumptions and estimates. Changes in these estimates and assumptions could materially affect the fair value of such financial instruments. See Note 7 and Note 14 of the Notes to the Unaudited Condensed Consolidated Financial Statements for information regarding method and key assumptions used for fair value measurements of such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of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recognized for expected future tax consequences of temporary differences between the financial reporting and tax bases of assets and liabilities, and for operating losses and tax credit carry forwards. A valuation allowance is recorded when it is more likely than not that some of the deferred tax assets will not be realized. When we determine and quantify the valuation allowances, we consider such factors as projected future taxable income, the availability of tax planning strategies, the historical taxable income/losses in prior years, and future reversals of existing taxable temporary differences. The assumptions used in determining projected future taxable income require significant judgment. Actual operating results in future years could differ from our current assumptions, judgments and estimates. Changes in these estimates and assumptions may materially affect the tax position measurement and financial statement recognition. If, in the future, we determine that we will not be able to realize our recorded deferred tax assets, an increase in the valuation allowance would decrease our earnings in the period in which such determination is made. As of June 30, 2026 and December 31, 2025, the Company’s deferred tax assets, net of valuation allowances of US$5.99 million and US$5.23 million, were US$0.55 million and US$0.77 million, respectively. After offsetting deferred tax liabilities of US$0.37 million and US$0.68 million, respectively, the net deferred tax assets recognized on the consolidated balance sheets were US$0.17 million and US$0.09 million as of June 30, 2026 and December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adopted accounting standard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The intent of ASU 2023-09 is to improve the disclosures around a company’s rate reconciliation information and certain types of income taxes companies are required to pay. Specifically, these new disclosure requirements will provide more transparency regarding income taxes companies pay in the United States and other countries, along with more disclosure around a company’s rate reconciliation, among other new disclosure requirements, such that users of financial statements can get better information about how the operations, related tax risks, tax planning and operational opportunities of companies affect their effective tax rates and future cash flow prospects. ASU 2023-09 is effective for public business entity for annual fiscal years beginning after December 15, 2024, and for all other entities for annual period beginning after December 15, 2025. Early adoption permitted for annual financial statements that have not yet been issued or made available for issuance. The amendments under ASU 2023-09 should be applied on a prospective basis, although retrospective application is permitted. As an emerging growth company (“EGC”) under the JOBS Act, the Group intends to use the extended transition period available to non-public business entities and has not early adopted ASU 2023-09. We adopted ASU No. 2023-09 from the period beginning from January 1, 2026, which resulted in changes in income tax related disclosures. Refer to Note 10 taxation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We are currently evaluating the impact that the adoption of these standards will have on our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 Measurement of Credit Losses for Accounts Receivable and Contract Assets”. It applies to entities that use the practical expedient and accounting policy election (if applicable) when estimating expected credit losses on current accounts receivable and/or current contract assets from transactions under Topic 606, including such assets acquired in a business combination accounted for under Topic 805. The amendments will be effective for annual reporting periods beginning after December 15, 2025, and interim reporting periods within those annual periods. Early adoption is permitted. We do not expect to adopt this guidance early and do not expect the adoption of this ASU to have a material impact on our future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Accounting for Government Grants Received by Business Entities (“ASU 2025-10”). The amendments establish the accounting for a government grant received by a business entity, including guidance for (1) a grant related to an asset and (2) a grant related to income. ASU 2025-10 is effective for annual reporting periods beginning after December 15, 2028, and interim reporting periods within those annual reporting periods. Early adoption is permitted. We are currently evaluating the impact of adopting ASU 2025-10.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Improvements to Interim Disclosure Requirements (“ASU 2025-11”). The amendments clarify disclosure requirements for interim financial statements. ASU 2025-11 is effective for interim periods beginning after December 15, 2026. Early adoption is permitted. We are currently evaluating the impact of adopting ASU 2025-11.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“Codification Improvements.” The amendments in this Update represent changes to clarify the Codification or correct unintended application of guidance and apply to all reporting entities within the scope of the affected accounting guidance. These amendments are effective for annual reporting periods beginning after December 15, 2026, and interim reporting periods within those annual reporting periods. Early adoption is permitted. We are currently evaluating the impact the adoption of ASU 2025-12 will have on its future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discuss recent standards that are not anticipated to have an impact on or are unrelated to our consolidated financial condition, results of operations, cash flows or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Quantitative and Qualitative Disclosures about Market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our shareholders to obtain short-term funding to meet the liquidity shortage.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 and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 w:name="ea030767701ex99-3.htm"/>
      <w:bookmarkStart w:id="12" w:name="ksea030767701ex993"/>
      <w:bookmarkEnd w:id="11"/>
      <w:bookmarkEnd w:id="12"/>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Reports First Half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October 16, 2026 (GLOBE NEWSWIRE) -- </w:t>
      </w:r>
      <w:r>
        <w:rPr>
          <w:rFonts w:ascii="Times New Roman;Times;Serif" w:hAnsi="Times New Roman;Times;Serif"/>
          <w:b w:val="false"/>
          <w:i w:val="false"/>
          <w:caps w:val="false"/>
          <w:smallCaps w:val="false"/>
          <w:sz w:val="20"/>
        </w:rPr>
        <w:t>Trident Digital Tech Holdings Ltd (“Trident” or the “Company”) (Nasdaq: TDTH), a Singapore-headquartered digital infrastructure and technology holding company building sovereign-scale platforms across emerging markets, today announced its unaudited financial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Financial Highlights</w:t>
      </w:r>
    </w:p>
    <w:p>
      <w:pPr>
        <w:pStyle w:val="TextBody"/>
        <w:bidi w:val="0"/>
        <w:spacing w:before="0" w:after="0"/>
        <w:ind w:left="540" w:right="0" w:hanging="27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Total revenues increased more than tenfold to </w:t>
            </w:r>
            <w:r>
              <w:rPr>
                <w:rFonts w:ascii="Times New Roman;Times;Serif" w:hAnsi="Times New Roman;Times;Serif"/>
                <w:b/>
              </w:rPr>
              <w:t>US$384,741</w:t>
            </w:r>
            <w:r>
              <w:rPr>
                <w:rFonts w:ascii="Times New Roman;Times;Serif" w:hAnsi="Times New Roman;Times;Serif"/>
              </w:rPr>
              <w:t>, compared to US$36,612 for the six months ended June 30, 2025.</w:t>
            </w:r>
          </w:p>
        </w:tc>
      </w:tr>
    </w:tbl>
    <w:p>
      <w:pPr>
        <w:pStyle w:val="TextBody"/>
        <w:bidi w:val="0"/>
        <w:spacing w:before="0" w:after="0"/>
        <w:ind w:left="54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Gross profit increased more than twentyfold to </w:t>
            </w:r>
            <w:r>
              <w:rPr>
                <w:rFonts w:ascii="Times New Roman;Times;Serif" w:hAnsi="Times New Roman;Times;Serif"/>
                <w:b/>
              </w:rPr>
              <w:t>US$356,879</w:t>
            </w:r>
            <w:r>
              <w:rPr>
                <w:rFonts w:ascii="Times New Roman;Times;Serif" w:hAnsi="Times New Roman;Times;Serif"/>
              </w:rPr>
              <w:t>, compared to US$17,643 for the prior-year period.</w:t>
            </w:r>
          </w:p>
        </w:tc>
      </w:tr>
    </w:tbl>
    <w:p>
      <w:pPr>
        <w:pStyle w:val="TextBody"/>
        <w:bidi w:val="0"/>
        <w:spacing w:before="0" w:after="0"/>
        <w:ind w:left="54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Gross margin expanded to approximately </w:t>
            </w:r>
            <w:r>
              <w:rPr>
                <w:rFonts w:ascii="Times New Roman;Times;Serif" w:hAnsi="Times New Roman;Times;Serif"/>
                <w:b/>
              </w:rPr>
              <w:t>93%</w:t>
            </w:r>
            <w:r>
              <w:rPr>
                <w:rFonts w:ascii="Times New Roman;Times;Serif" w:hAnsi="Times New Roman;Times;Serif"/>
              </w:rPr>
              <w:t>, compared to approximately 48% for the prior-year period, reflecting the high-margin, platform-driven nature of the Company’s revenue model.</w:t>
            </w:r>
          </w:p>
        </w:tc>
      </w:tr>
    </w:tbl>
    <w:p>
      <w:pPr>
        <w:pStyle w:val="TextBody"/>
        <w:bidi w:val="0"/>
        <w:spacing w:before="0" w:after="0"/>
        <w:ind w:left="54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US$12,727,298, compared to US$11,271,548 for the six months ended June 30, 2025, as the Company invested in platform deployment, market entry and corporate infrastructure.</w:t>
            </w:r>
          </w:p>
        </w:tc>
      </w:tr>
    </w:tbl>
    <w:p>
      <w:pPr>
        <w:pStyle w:val="TextBody"/>
        <w:bidi w:val="0"/>
        <w:spacing w:before="0" w:after="0"/>
        <w:ind w:left="54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Non-GAAP adjusted EBITDA</w:t>
            </w:r>
            <w:r>
              <w:rPr>
                <w:rFonts w:ascii="Times New Roman;Times;Serif" w:hAnsi="Times New Roman;Times;Serif"/>
                <w:position w:val="8"/>
                <w:sz w:val="19"/>
              </w:rPr>
              <w:t>(1)</w:t>
            </w:r>
            <w:r>
              <w:rPr>
                <w:rFonts w:ascii="Times New Roman;Times;Serif" w:hAnsi="Times New Roman;Times;Serif"/>
              </w:rPr>
              <w:t xml:space="preserve"> was a loss of US$4,545,711, compared to a loss of US$4,379,209 for the six months ended June 30, 2025 — essentially flat year-over-year despite the expansion in operating footprint.</w:t>
            </w:r>
          </w:p>
        </w:tc>
      </w:tr>
    </w:tbl>
    <w:p>
      <w:pPr>
        <w:pStyle w:val="TextBody"/>
        <w:bidi w:val="0"/>
        <w:spacing w:before="0" w:after="0"/>
        <w:ind w:left="420" w:right="0" w:firstLine="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i/>
              </w:rPr>
            </w:pPr>
            <w:r>
              <w:rPr>
                <w:i/>
              </w:rPr>
              <w:t>(1)</w:t>
            </w:r>
          </w:p>
        </w:tc>
        <w:tc>
          <w:tcPr>
            <w:tcW w:w="9931" w:type="dxa"/>
            <w:tcBorders/>
            <w:vAlign w:val="center"/>
          </w:tcPr>
          <w:p>
            <w:pPr>
              <w:pStyle w:val="TableContents"/>
              <w:bidi w:val="0"/>
              <w:spacing w:before="0" w:after="283"/>
              <w:jc w:val="both"/>
              <w:rPr>
                <w:i/>
              </w:rPr>
            </w:pPr>
            <w:r>
              <w:rPr>
                <w:i/>
              </w:rPr>
              <w:t>The Company uses non-GAAP adjusted EBITDA to understand and evaluate its core operating performance. Non-GAAP adjusted EBITDA is calculated as net loss excluding interest expense, net, income tax (benefit) expense, depreciation and amortization expenses, share-based compensation expense and gains on fair value change.</w:t>
            </w:r>
          </w:p>
        </w:tc>
      </w:tr>
    </w:tbl>
    <w:p>
      <w:pPr>
        <w:pStyle w:val="TextBody"/>
        <w:bidi w:val="0"/>
        <w:spacing w:before="0" w:after="0"/>
        <w:ind w:left="420" w:right="0" w:firstLine="1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Soon Huat Lim, Trident’s Founder, Chairman and Chief Executive Officer, commented: </w:t>
      </w:r>
      <w:r>
        <w:rPr>
          <w:rFonts w:ascii="Times New Roman;Times;Serif" w:hAnsi="Times New Roman;Times;Serif"/>
          <w:b w:val="false"/>
          <w:i w:val="false"/>
          <w:caps w:val="false"/>
          <w:smallCaps w:val="false"/>
          <w:sz w:val="20"/>
        </w:rPr>
        <w:t>“The first half of 2026 was about building. The second half is about delivering. Through TDTH Africa, our Ghana joint venture is onboarding micro, small and medium-sized enterprises onto Sikaflow and supporting the Ghana Revenue Authority’s digital tax program. Through our AI &amp; Intelligent Systems Group, we are taking TDTHAI to market and building our IRMA Engine Asia joint venture across Asia-Pacific, the Middle East and Africa. Through our Cybersecurity Group, we are bringing Memcyco’s real-time fraud protection to banks across Asia-Pacific. And through our Tridentity Infrastructure Group, we are advancing opportunities to expand digital identity across Africa. The approximately US$23 million of new equity we raised in September, gives us the balance sheet to execute. Our commitment to shareholders is simple: clear milestones, delivered and reported publicly.”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Capital and Business Developments</w:t>
      </w:r>
    </w:p>
    <w:p>
      <w:pPr>
        <w:pStyle w:val="TextBody"/>
        <w:bidi w:val="0"/>
        <w:spacing w:before="0" w:after="0"/>
        <w:ind w:left="54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Founder converts US$8 million of debt to equity. </w:t>
            </w:r>
            <w:r>
              <w:rPr>
                <w:rFonts w:ascii="Times New Roman;Times;Serif" w:hAnsi="Times New Roman;Times;Serif"/>
              </w:rPr>
              <w:t xml:space="preserve">At the Company’s extraordinary general meeting on July 8, 2026, shareholders approved the conversion of US$8,000,000 of debt owed to Mr. Soon Huat Lim, the Company’s Founder, Chairman and Chief Executive Officer, into Class B ordinary shares, together with a share consolidation and the Company’s Third Amended and Restated Memorandum and Articles of Association. </w:t>
            </w:r>
          </w:p>
        </w:tc>
      </w:tr>
    </w:tbl>
    <w:p>
      <w:pPr>
        <w:pStyle w:val="TextBody"/>
        <w:bidi w:val="0"/>
        <w:spacing w:before="0" w:after="0"/>
        <w:ind w:left="54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IRMA Engine Investment and IRMA Engine Asia joint venture executed. </w:t>
            </w:r>
            <w:r>
              <w:rPr/>
              <w:t>On June 30, 2026, the Company entered into an exchange agreement with Digital Innovations Group, Inc. (“DIG”) to acquire 990,000 shares of DIG common stock in exchange for the issuance of Class B Ordinary Shares of the Company with an aggregate value of US$2,000,000.The transaction had its initial closing on July 17, 2026. In August 2026, the Company executed a 50/50 joint venture with DIG to deploy the IRMA AI Engine across Asia, the Middle East and Africa, markets representing approximately 9.4 million businesses.</w:t>
            </w:r>
          </w:p>
        </w:tc>
      </w:tr>
    </w:tbl>
    <w:p>
      <w:pPr>
        <w:pStyle w:val="TextBody"/>
        <w:bidi w:val="0"/>
        <w:spacing w:before="0" w:after="0"/>
        <w:ind w:left="54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Total of US$23.0 million private placement and registered direct offering. </w:t>
            </w:r>
            <w:r>
              <w:rPr>
                <w:rFonts w:ascii="Times New Roman;Times;Serif" w:hAnsi="Times New Roman;Times;Serif"/>
              </w:rPr>
              <w:t>On September 8, 2026 and September 29,2026, the Company closed a private placement of 20,000,000 Class B ordinary shares to certain non-U.S. investors at US$0.40 per share for aggregate gross proceeds of US$8.0 million, a registered direct offering of 30,000,000 Class B ordinary shares at US$0.50 per share for aggregate gross proceeds of US$15,000,000 before offering expenses.</w:t>
            </w:r>
          </w:p>
        </w:tc>
      </w:tr>
    </w:tbl>
    <w:p>
      <w:pPr>
        <w:pStyle w:val="TextBody"/>
        <w:bidi w:val="0"/>
        <w:spacing w:before="0" w:after="0"/>
        <w:ind w:left="540" w:right="0" w:hanging="27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40" w:right="0" w:hanging="27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Trident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is a Singapore-headquartered digital infrastructure and technology holding company focused on building and operating sovereign-scale technology platforms across emerging markets. The Company’s strategy centers on entering high-growth economies through trusted digital identity infrastructure and expanding across adjacent verticals spanning government technology, artificial intelligence, cybersecurity, digital commerce, agritech, and transaction-driven services. Trident’s active initiatives include national digital identity mandates, MSME digital tax formalization platforms, enterprise AI deployment, and cybersecurity solutions across Africa and the Asia-Pacific region. With active operations and strategic initiatives in Ghana and Asia-Pacific markets, Trident is positioning itself to capitalize on one of the world’s largest long-term opportunities in digital transformation infrastructure, enterprise AI deployment, and sovereign-scale technology modernization.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https://tridentity.me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also cause actual results to differ materially from those contained in any forward-looking statement, including but not limited to the following: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identity infrastructure and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 &amp; Global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Phoenix MGMT &amp; Consulting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www.PhoenixMGMTconsulting.com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PR@PhoenixMGMTConsulting.com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investor@tridentity.me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83550/000121390026015844/ea0276321-s8_trident.htm" TargetMode="External"/><Relationship Id="rId3" Type="http://schemas.openxmlformats.org/officeDocument/2006/relationships/hyperlink" Target="http://www.sec.gov/Archives/edgar/data/1983550/000121390026003104/ea0272374-s8_trident.htm" TargetMode="External"/><Relationship Id="rId4" Type="http://schemas.openxmlformats.org/officeDocument/2006/relationships/hyperlink" Target="http://www.sec.gov/Archives/edgar/data/1983550/000121390026087769/ea0301320-f3_triden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25284</Words>
  <Characters>141005</Characters>
  <CharactersWithSpaces>167708</CharactersWithSpaces>
  <Paragraphs>5732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