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232-6k_trident.htm"/>
      <w:bookmarkStart w:id="1" w:name="ksea02972326k_trident"/>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b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001-41848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Trident Digital Tech Holdings Ltd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Trident Announces Results of Extraordinary General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(NASDAQ: TDTH) (“</w:t>
      </w:r>
      <w:r>
        <w:rPr>
          <w:rFonts w:ascii="Times New Roman;Times;Serif" w:hAnsi="Times New Roman;Times;Serif"/>
          <w:b/>
          <w:i w:val="false"/>
          <w:caps w:val="false"/>
          <w:smallCaps w:val="false"/>
          <w:sz w:val="20"/>
        </w:rPr>
        <w:t>Trident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leading catalyst for digital transformation in technology optimization services and Web 3.0 activation based in Singapore, today announced that it held its extraordinary general meeting of shareholders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on July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the Company’s shareholders: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approved a share redesignation of (a) 40,000,000 authorized but unissued Class A ordinary shares to 40,000,000 blank shares and (b) 20,000,000 authorized but unissued Class C ordinary shares to 20,000,000 blank shares (collectively, “</w:t>
            </w:r>
            <w:r>
              <w:rPr>
                <w:rFonts w:ascii="Times New Roman;Times;Serif" w:hAnsi="Times New Roman;Times;Serif"/>
                <w:b/>
              </w:rPr>
              <w:t>Share Redesignations</w:t>
            </w:r>
            <w:r>
              <w:rPr>
                <w:rFonts w:ascii="Times New Roman;Times;Serif" w:hAnsi="Times New Roman;Times;Serif"/>
              </w:rPr>
              <w:t>”). After the Share Redesignations, the authorized share capital of the Company is: US$50,000 divided into 5,000,000,000 shares, comprising (i) 960,000,000 Class A ordinary shares, (ii) 3,000,000,000 Class B ordinary shares, (iii) 480,000,000 Class C ordinary shares, and (iv) 560,000,000 blank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approved, immediately following the Share Redesignations, an increase of the authorized share capital of the Company from US$50,000 to US$1,200,000, divided into 120,000,000,000 shares of par value of US$0.00001 each by creation of (i) 22,080,000,000 Class A ordinary shares; (ii) 69,000,000,000 Class B ordinary shares; (iii) 11,040,000,000 Class C ordinary shares and (iv) 12,880,000,000 blank shares, in order to provide the Company with sufficient headroom for future issuances and other corporate purposes (the “</w:t>
            </w:r>
            <w:r>
              <w:rPr>
                <w:rFonts w:ascii="Times New Roman;Times;Serif" w:hAnsi="Times New Roman;Times;Serif"/>
                <w:b/>
              </w:rPr>
              <w:t>Increase of Authorized Share Capital</w:t>
            </w:r>
            <w:r>
              <w:rPr>
                <w:rFonts w:ascii="Times New Roman;Times;Serif" w:hAnsi="Times New Roman;Times;Serif"/>
              </w:rPr>
              <w:t xml:space="preserve">”) after the Share Redesignations. After the Share Redesignations and Increase of Authorized Share Capital, the authorized share capital of the Company is: US$1,200,000 divided into 120,000,000,000 shares, comprising (i) 23,040,000,000 Class A ordinary shares, (ii) 72,000,000,000 Class B ordinary shares, (iii) 11,520,000,000 Class C ordinary shares, and (iv) 13,440,000,000 blank shares;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approved, immediately following the Increase of Authorized Share Capital, a share consolidation (the “</w:t>
            </w:r>
            <w:r>
              <w:rPr>
                <w:rFonts w:ascii="Times New Roman;Times;Serif" w:hAnsi="Times New Roman;Times;Serif"/>
                <w:b/>
              </w:rPr>
              <w:t>Share Consolidation</w:t>
            </w:r>
            <w:r>
              <w:rPr>
                <w:rFonts w:ascii="Times New Roman;Times;Serif" w:hAnsi="Times New Roman;Times;Serif"/>
              </w:rPr>
              <w:t>”) of the issued and unissued ordinary shares of the Company, such that every two hundred and forty (240) existing ordinary shares of par value of US$0.00001 each will be consolidated into one (1) ordinary share of par value of US$0.0024 each (the “</w:t>
            </w:r>
            <w:r>
              <w:rPr>
                <w:rFonts w:ascii="Times New Roman;Times;Serif" w:hAnsi="Times New Roman;Times;Serif"/>
                <w:b/>
              </w:rPr>
              <w:t>Consolidation Ratio</w:t>
            </w:r>
            <w:r>
              <w:rPr>
                <w:rFonts w:ascii="Times New Roman;Times;Serif" w:hAnsi="Times New Roman;Times;Serif"/>
              </w:rPr>
              <w:t>”), to take effect immediately following the completion of the mandatory exchange of all outstanding American depositary shares (“</w:t>
            </w:r>
            <w:r>
              <w:rPr>
                <w:rFonts w:ascii="Times New Roman;Times;Serif" w:hAnsi="Times New Roman;Times;Serif"/>
                <w:b/>
              </w:rPr>
              <w:t>ADSs</w:t>
            </w:r>
            <w:r>
              <w:rPr>
                <w:rFonts w:ascii="Times New Roman;Times;Serif" w:hAnsi="Times New Roman;Times;Serif"/>
              </w:rPr>
              <w:t>”) of the Company for the underlying Class B ordinary shares of the Company pursuant to the termination of the deposit agreement, dated as of September 11, 2024, as amended, among the Company, Citibank, N.A., and the holders and beneficial owners of ADSs from time to time, be approved. Following the Share Consolidation, the authorized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the memorandum and articles of association of the Company. No fractional shares shall be issued in connection with the Share Consolidation and where a shareholder would otherwise be entitled to a fraction of a consolidated share, such fraction shall be rounded down to the nearest whole share if it is less than 0.5 and rounded up to the nearest whole share if it is 0.5 or more (the “</w:t>
            </w:r>
            <w:r>
              <w:rPr>
                <w:rFonts w:ascii="Times New Roman;Times;Serif" w:hAnsi="Times New Roman;Times;Serif"/>
                <w:b/>
              </w:rPr>
              <w:t>Adjustment</w:t>
            </w:r>
            <w:r>
              <w:rPr>
                <w:rFonts w:ascii="Times New Roman;Times;Serif" w:hAnsi="Times New Roman;Times;Serif"/>
              </w:rPr>
              <w:t>”). Upon the Adjustment, if any shareholder holds less than 0.5 of a share of any class, the Company shall cancel such fractional share, and the shareholder will cease to hold any shares of that class;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approved and adopted the Third Amended and Restated Memorandum and Articles of Association of the Company (as set forth in Exhibit 99.3 to the Form 6-K filed by the Company with the Securities and Exchange Commission on June 30, 2026) with effect from the time of Share Consolidation;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approved and adopted the Share Subscription Agreement (as set forth in Exhibit 99.4 to the Form 6-K filed by the Company with the Securities and Exchange Commission on June 30, 2026) and the transactions contemplated thereunder.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1520"/>
        <w:gridCol w:w="320"/>
        <w:gridCol w:w="635"/>
        <w:gridCol w:w="3140"/>
      </w:tblGrid>
      <w:tr>
        <w:trPr/>
        <w:tc>
          <w:tcPr>
            <w:tcW w:w="1520" w:type="dxa"/>
            <w:tcBorders/>
            <w:vAlign w:val="center"/>
          </w:tcPr>
          <w:p>
            <w:pPr>
              <w:pStyle w:val="TableContents"/>
              <w:bidi w:val="0"/>
              <w:spacing w:before="0" w:after="283"/>
              <w:jc w:val="left"/>
              <w:rPr/>
            </w:pPr>
            <w:r>
              <w:rPr/>
              <w:t> </w:t>
            </w:r>
          </w:p>
        </w:tc>
        <w:tc>
          <w:tcPr>
            <w:tcW w:w="40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Trident Digital Tech Holdings Ltd</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5"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Soon Huat Lim</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5"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8, 2026</w:t>
            </w:r>
          </w:p>
        </w:tc>
        <w:tc>
          <w:tcPr>
            <w:tcW w:w="320" w:type="dxa"/>
            <w:tcBorders/>
            <w:vAlign w:val="center"/>
          </w:tcPr>
          <w:p>
            <w:pPr>
              <w:pStyle w:val="TableContents"/>
              <w:bidi w:val="0"/>
              <w:spacing w:before="0" w:after="283"/>
              <w:jc w:val="left"/>
              <w:rPr/>
            </w:pPr>
            <w:r>
              <w:rPr/>
              <w:t> </w:t>
            </w:r>
          </w:p>
        </w:tc>
        <w:tc>
          <w:tcPr>
            <w:tcW w:w="377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835</Words>
  <Characters>4553</Characters>
  <CharactersWithSpaces>5410</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